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introduces the target verbs (play music, paint, make things). Students link the spoken action word to the correct illustration to build vocabulary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children playing instruments, painting, or cutting paper as the audio plays."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contextualises the vocabulary within sentences. Students practise the structure \"We [action] in the [room]\" to connect activities to locations."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repetition of the sentences and pointing to the correct text or image (e.g., pointing to the art room when saying \"We make things\")."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p22 - 3. Make shakers.",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shakers allows for kinesthetic learning and following instructions. Students follow the visual steps to construct a musical instrument, developing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to follow the sequence (bottle to pasta to tape) and successful completion of a working shaker."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p60 - 1. Draw an activity you do in each place.",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 activity assesses comprehension of function and place. Students identify the room and draw the corresponding action (e.g., reading in the library, eating in the canteen)."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drawings matching the room (e.g., a book in the library, food in the canteen, a ball in the gym)."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a speaking opportunity to reinforce the unit structure. Students point to their drawings and describe what they do in that 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production of the sentence \"We [read] in the [library]\" matching their specific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 and shake your shakers.",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and shake consolidates learning through TPR. Students use their new creation to keep rhythm while practising the target language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shaking the bottle to the beat, and enjoyment of the musical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