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p23 -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pictures activates prior knowledge and visual literacy. Students describe what they see in the illustrations to predict the story content before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recognition of known items (school, ball, books) and simple predictions about the setting or characters."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develops narrative comprehension and listening stamina. Students follow the audio while looking at the images to understand the sequence of events."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tracking the panels with their fingers, and reactions to the key moments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builds confidence and fluency. Students role-play the characters in groups, using the target language (\"This is our school,\" \"We play...\") in a meaningful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delivery of the lines, and appropriate gestures matching the actions (e.g., pretending to write or kick a ball)."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p89 - Count &amp;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develops numeracy and quantity recognition. Students count the large sets of objects by tens to identify and write the correct number digit."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of the specific items (10 computers, 20 guitars, 30 pencils, 40 paintbrushes) and writing the correct digits."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p89 -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develops fine motor skills and literacy. Students trace the number words to reinforce the spelling and recognition of ten, twenty, thirty, and forty."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and neat tracing over the dotted lines for the number words \"ten\", \"twenty\", \"thirty\", and \"forty\"."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p90 - Circle groups of ten",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groups of ten develops visual grouping and observation skills. Students find and circle clusters of ten children to visualise the concept of 'tens'."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circling of the four distinct groups of children (sandpit, skipping, ball, circle game) in the playground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p90 - 2.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reinforces number word spelling. Students write the words for the multiples of ten to practise associating the digit with its written form."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and legible formation of the words 'ten', 'twenty', 'thirty', and 'forty' under the corresponding big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p90 - 3. Add",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introduces basic calculation and summation. Students count all the circled groups together to find the grand total of children in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addition of the four groups to reach the final answer in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