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p33 -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activates prior knowledge. Students look at the canteen scene and identify the food and characters to predict what the story is about."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recognition of the \"canteen\" setting and pointing to the food items (chicken, pasta, fish), as well as students making predictions about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develops narrative comprehension. Students listen to the dialogue to understand the sequence of events and the importance of saying \"please\"."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reaction to the moment the boy forgets to say \"please\" in the second panel."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builds confidence and fluency. Students role-play the canteen scene, practising the question \"What would you like?\" and the polite response \"I'd like..., please.\""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speech, use of \"please\" and \"thank you,\" and appropriate gestures (serving food, holding a tray)."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"Numbers Book p95 - Join the dots.",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"Join the dots reinforces shape recognition and fine motor skills. Students connect the dots to reveal the 3D shapes (cone hats, sphere decoration, cylinder cake)."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lines connecting the dots to form the correct geometric shapes."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p95 - Colour the cones.",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the cones assesses visual classification. Students identify the specific shape (cone) in the party scene and colour only those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party hats as cones and colouring them, while leaving the other shapes blank (or different colours)."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p95 - 3. Find and name the 3D shapes.",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name connects the visual form to the vocabulary. Students point to the objects in the picture (cake, ball, cups) and say the correct mathematical term."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naming: \"The cake is a cylinder,\" \"The ball is a sphere,\" \"The hats are cones.\""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p96 - Look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match develops logical thinking and pattern recognition. Students analyse the sequence of shapes (e.g., Sphere, Sphere, Cone...) and draw a line to the shape that comes next."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pattern rule and matching to the correct next shape (e.g., connecting the first row to the Sphere)."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p96 - Draw a new pattern.",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 new pattern allows for creative application of mathematical concepts. Students create their own sequence using the 3D shapes (e.g., cylinder, cone, cylinder, cone)."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 repeating logical sequence of shapes drawn in the empty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