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p12 -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Read and circle.",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circle gives students an opportunity to review the target language and practice reading for understanding."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and correct identification of each word while students read, and accurate circling of the appropriate words to complete the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p12 - 3. Try it out! Make a seasons poster.",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a seasons poster provides further practice of the target language in a more engaging way, encouraging learner autonomy and collaboration skills if students are working in groups."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 engagement, images to represent each season, correct labelling of the images and each student in the group contributing to the poster."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p60 - Answer and trace.",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"Answer and trace further reinforces the target language in a more personalised way. It reinforces whole-word memory, letter order,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consistent letter formation, and neat handwriting within the lines, students only tracing one word and being able to accurately identify the word they have chosen."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p60 - Read and tick.",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tick reviews the key words and structures from the lesson. Students read the question and look at the pictures to choose which boxes to tick."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reading of the question, correct identification of all the pictures, and accurate ticking of the boxes for the clothes which match the season they chose in the previous exercise."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p12 - 4. Say the chant and do the actions.",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strengthens retention of the target language and helps improve pronunciation and stress. The TPR actions help strengthen recall of the target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stress and confident participation, with most students able to join in with at least some of the actions and the most repeated parts of the chant."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p12 - 5. Make new verses for the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new verses consolidates knowledge of the key structure and target language and gives students slightly less controlled practice of 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repetition of the parts of the chant that remain the same (the key structures) and the addition of the seasons and temperatures not previously used in the chant."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