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p19 -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to the characters (e.g., pointing to the police officer on the podium, or the doctor walking) and clear repetition of the job titles."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Ask and answer with What's missing?",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with What's missing? develops visual memory and vocabulary recall. Students play a game where they identify which professional has been covered or removed from the sequence."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quick identification of the missing job and confident production of the word (e.g., \"The vet is missing!\")."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Place stickers.",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"Place stickers reinforces the connection between the spoken word and the visual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selection of the stickers (doctor, waiter, shop assistant, etc.) and correct placement on the page."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p65 -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develops early literacy skills by linking the written word to the visual representation. Students draw lines connecting the job title in the box to the correct character illustration."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logical connections: 'vet' to the person with the cat, 'chef' to the person with the hat/spoon, 'teacher' to the book, 'doctor' to the stethoscope."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p65 -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provides a speaking opportunity to check comprehension. Students point to the matches they made and say the words aloud to a partner or the teacher."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pointing and correct pronunciation of the four key jobs (vet, chef, teacher, doctor)."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consolidates the new vocabulary through rhythm. Students chant the names of the jobs to practise pronunciation and memorise the list."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participation, clapping to the rhythm, and distinct pronunciation of multi-syllable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