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within the new grammar context. Students identify the characters and the jobs in the pictures (firefighter, vet) before listening to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specific speech bubbles or thought bubbles and naming the jobs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fluency. Students follow the audio story about the girls' parents and then role-play the Q&amp;A structure \"What does your mummy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confident use of the structure \"My [mummy/daddy]'s a [job]\" during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Read and circle. Then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circle and draw consolidates the grammar through reading and personalization. Students read the prompt \"What does your daddy/mummy do?\", circle the correct parent word (if applicable), and draw the job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recognizable drawing of a job (e.g., a stethoscope for a doctor) and circling the correct family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Ask and answer for the girl and boy.",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checks interpretation of visuals. Students look at the thought bubbles (female doctor, male police officer) and practice the third-person structure \"She's a doctor\" / \"He's a police officer.\""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gender pronouns (She vs He) matching the character in the thought bubble."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Ask and answer for your mummy and daddy.",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applies the structure to the student's real life. Students work in pairs to ask about their own parents' professions."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production of the sentence \"My [mummy/daddy] is a [job]\" using the vocabulary learned in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practice of the target structure. Students share their drawings with a partner, asking \"What does he/she do?\" and answering."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job titles and correct use of \"He's a...\" or \"She's a...\" based on their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p20 - 5.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reinforces the grammar pattern through rhythm. Students sing the lyrics asking about family jobs (\"What does your daddy do?\") and answering (\"He's a firefighter\") while doing the respective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staying in time with the music, and clear pronunciation of the questions and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p20 - 6.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flexible language use. Students substitute the jobs in the song with their own parents' jobs (e.g., \"My mummy's a chef\")."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substitution of new job words into the melody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