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p23 -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activates prior knowledge and visual literacy. Students describe the scene (cat in tree, dog barking) and identify the job characters to predict the plot."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recognition of the \"police officer\" and \"vet\" uniforms and simple predictions about how they will help the cat."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audio to follow the sequence of the rescue and understand the specific dialogue (\"I can help,\" \"I'm a vet\")."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reaction to the vet climbing the tree to save the cat."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builds confidence and fluency. Students role-play the characters, using the key phrases \"I'm a [job]\" and \"I can help\" in a meaningful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clear delivery of the lines, and appropriate actions (e.g., looking up at the tree, climbing)."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p101 - Follow and colour from 10 to 70.",</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colour reinforces the numerical sequence by tens. Students identify the path from 10 to 70 and colour the corresponding bubbles to connect the firefighter to the fire engine."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sequence 10, 20, 30, 40, 50, 60, 70 and colouring only those circles."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p101 - Go back. Count by 10s.",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"Go back and count introduces reverse sequencing. Students trace the path backwards from the fire engine to the firefighter, counting down from 70 to 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the circles in reverse order and verbally counting \"70, 60, 50, 40, 30, 20, 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p102 - Add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and write develops calculation skills using visual support. Students count the base sets (e.g., 30 apples) and add the group of 10 to find the total (40)."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calculation of the sums (30+10=40, 40+10=50, 50+10=60, 60+10=70) and writing the answers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