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introduces the transport vocabulary. Students listen to the audio track and identify the specific vehicles in the scene (car, bus, train, etc.) to build word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vehicles in the picture (e.g., pointing to the train on the bridge) and clear repetition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What's missing? develops visual memory and vocabulary recall. Students play a game where they identify which vehicle has been covered or removed from the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missing transport item and confident production of the correct word (e.g., \"The plane is missing!\")."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the connection between the spoken word and the visual image. Students listen to the audio prompts and place the correct sticker."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stickers and correct placement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p71 - Find and circle the differences.",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differences develops visual discrimination and vocabulary application. Students compare the two transport scenes and circle the items that have changed (e.g., boat vs plane)."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circling of the specific changes: e.g., the plane (top right), the missing train, the taxi (instead of car), and the bike (instead of bus)."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Point and say the transport.",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a speaking opportunity to check comprehension. Students point to the items they circled and name them to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pointing and saying sentences like \"Here is a boat,\" \"Here is a plane,\" \"Here is a taxi.\""</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consolidates the new vocabulary through rhythm. Students say the chant and do actions to reinforce learning."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clapping to the rhythm, and distinct pronunciation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