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p28 -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activates vocabulary in context. Students identify the toy vehicles (plane, boat, bus, car) in the picture before listening to the dialogue."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pointing to the toys and naming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p28 - Listen to the conversation.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act develops narrative comprehension and grammar usage. Students follow the audio and role-play."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attentive listening and confident use of grammatical structure during the role-play."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p28 - Draw. Then ask and answer.",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and ask allows for personalization. Students draw their actual mode of transport to school in the box and practice the question and answer with a partner."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recognizable drawings of a car, bus, bike, or walking (legs) and correct production of \"I go by [transport].\""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p72 - Follow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"Follow and match develops fine motor skills and logic. Students trace the tangled lines to discover which mode of transport each child uses."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tracing leading to the correct matches: Girl 1 to Taxi, Boy 1 to School Bus, Girl 2 to Car, Boy 2 to Bike."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p72 - Role play as the children: How do you go to school?",</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"Role play applies the grammar to the visual task. Students pretend to be the characters in the maze and answer the question based on the line they traced."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sentence production (e.g., pointing to the first girl and saying \"I go by taxi\")."</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p28 - 4.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consolidates the sentence structure through rhythm. Students chant the target question and answer to internalise the grammar pattern."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enthusiastic participation and clear pronunciation of the chant."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p28 - 5. Make new verses for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new verses encourages flexible language use. Students substitute different vehicles into the chant structure."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successful substitution of new transport vocabulary into the rhythm of the chant."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