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p30 - Talk about the chart.",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chart introduces data interpretation. Students examine the bar chart image to understand how the height of the coloured bars corresponds to the number of children on the axis."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pointing to the tallest bar (Bus) or the shortest bar (Bicycle) and reading the corresponding numbers on the left."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p30 -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reinforces the data extraction skills. Students listen to questions like \"How many children walk?\" and answer by reading the chart."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tracking of the red 'Walk' bar to the number '7' in the photo example and stating the number clearly."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p74 - Count transport.",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transport prepares for data handling. Students review the class data (or count a provided set) for each mode of transport shown in the notebook."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systematic counting of the specific transport types."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p74 -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records the data. Students write the final number for each transport type in the box next to the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formation of the digits corresponding to the count."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p74 - 3. Ask and answer with How many...?",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checks data comprehension verbally. Students interpret their written data by answering questions like \"How many cars?\""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quick retrieval of the information, like \"Five cars\" or \"Eight buses.\""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p30 - 3. Try it out! Do a class survey.",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a class survey applies the concept to real life. Students ask their classmates \"How do you go to school?\" and record the answers to create their own class data set."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in asking questions and recording answers (using tally marks or blocks) on a shared or individual sheet."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p30 - 4. Make a bar chart.",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a bar chart visualises the class data. Students colour in the grid to represent the findings of their survey (e.g., colouring 5 blocks for 'Car')."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transfer of the survey numbers to the visual graph, ensuring the bars reach the correct height on the scale."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