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prior knowledge and sets the scene. Students describe the different environments (city vs. countryside) and the transport they see to predict what the children will encounter."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descriptions like \"city,\" \"bus,\" \"trees,\" or \"bike\" and pointing to the characters walking."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first part of the story to understand the repeating pattern \"I walk to school. What can I see?\" and identifying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pointing to trace the story as it progresses."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characters, walking on the spot and mime looking around, then saying \"I can see...\""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delivery of the key phrase \"What can I see?\" and the appropriate waving action to the imaginary bus or bike."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p107 - Continue the pattern. Draw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"Continue the pattern develops logical reasoning. Students identify the repeating sequence of shape and colour (e.g., Red Triangle, Green Square) and draw the next items in the row."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pattern rules (AB, AB...) and drawing the correct shape in the correct colour to finish the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p108 -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links large numbers to their written form. Students draw lines connecting the vehicle with the digit (e.g., Bus 19) to the corresponding number word (nineteen)."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connecting: 19-nineteen, 64-sixty-four, 55-fifty-five, 41-forty-one, 37-thirty-seven."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p108 - Trace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say reinforces spelling and pronunciation. Students trace the number words to practise writing the complex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hyphenated number words (e.g., \"sixty-four\")."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