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p36 -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sets up the context for the story by drawing on visual elements students are familiar with and initiates some oral communication."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to the teacher’s questions, active participation and engagement from all students."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Listen to the conversation.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conversation presents the target language in context, reinforced by the pictures, checking students’ ability to recognise the spoken and written forms. Act it out checks understanding of the target language and provides controlled practice of oral production."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engagement, students being on-task and following the story through correct pointing, then pointing at the correct speech bubbles. For Act it out, look for accurate and confident repetition, active participation, correct pronunciation and accurate intonation."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provides an opportunity for students to personalise the topic and a vehicle for controlled oral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and accurate drawing, understanding of the teachers’ questions and answers that reflect this, even if they may lack accuracy of form."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p46 - Cut out and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and stick practises students’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and neat cutting and sticking of the pictures on the page."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p46 - Ask and answer about your maps with a friend: Where’s the…?",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activity provides a purpose for the previous activity, as a vehicle for oral production controlled practice of the target question and answer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correct formation of the question and answer structures, correct identification of the buildings."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the song and do the actions consolidates the new language through TPR."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correct imitation of the actions, accurate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p36 - 5.  Make new verses for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new verses for the song personalises the song and further reinforces meaning by interacting with the song at a deeper level."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appropriate word choices, accurate pronunciation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