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‘this’ and ‘that’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was a kid, my classroom looked like this! Listen and read to find out what things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classrooms have changed much since I was a kid?”"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pp. 109 - 111 - A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first-sound awareness by having students identify the initial phoneme, connect it to the correct letter, and demonstrate early phonics control by linking each sound to a picture that begins with it.",</w:t>
        <w:br w:type="textWrapping"/>
        <w:t xml:space="preserve">                    "Match further develops first sound identification and an awareness of word families."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sound, correct identification of the pictures and correct isolation of their first sound.",</w:t>
        <w:br w:type="textWrapping"/>
        <w:t xml:space="preserve">                    "Look for correct identification of the words which share the same middle and last sounds, and neat lines to connect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learnt the same sounds you are learning now! What sounds do these letters make? Please say them for me!”",</w:t>
        <w:br w:type="textWrapping"/>
        <w:t xml:space="preserve">                    "“I always had  balloons at my birthday parties. Can you help me match the balloons that have the same vowel and final consonant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 109 - 111 - B Trace",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writing individual letters. It reinforces letter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 109 - 111 - A Match and trace",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trace reinforces comprehension of the CVC words by linking sound to meaning, showing they can link sounds to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pictures,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was a kid, I had a blue hat.. Can you find my hat, and trace and write the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 109 - 111 -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CVC words. It reinforces whole-word memory, letter order, and neat handwriting.",</w:t>
        <w:br w:type="textWrapping"/>
        <w:t xml:space="preserve">                    "Write gives students further controlled practice spelling the CVC words. It strengthens  blending skills, and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