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p.13 -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the new target vocabulary and gives students an opportunity to practise saying the target words.\nPractise introduces the lesson's key structures ‘Where is/are…?’ and prepositions of place to talk about where things are."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accurate stress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"“We’re going on day out! Let’s pack some food to take with us. Let’s see - where is everything?"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of the target vocabulary and using the structure ‘Where is/are…?’ with the prepositions ‘on’, ‘in’ and ‘under’."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confident identification of the words and correct use of the key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friends are coming too. Can you help them find the food to bring?”"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A Look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match strengthens recognition of target words with word-picture matching reinforcing whole-word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neat lines and correct word-picture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label our food, so everyone knows what is in each bag. Can you help?”"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controlled practice identifying and spelling the target words from the unit and reviews prepositions of place. It reinforces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p.14 - Speaking Ask and answer. Then circle the four differences.",</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ask and answer activity provides the opportunity to further use the target vocabulary and structure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target structures and vocabulary, natural turn-taking with classmates, and accurate circling of the differences between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 we’re there and we’ve started to unpack the food. Can you help spot where it all 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Song",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strengthens retention of the target language and helps improve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most students participating and able to join in with at least the most repeated parts of the song and/or do the actions to demonstrate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such a fun day. Let’s sing a song to celebrate!\""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