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"Before Reading tasks re-engage students with the language they will meet. Listen and follow along in your storybook re-familiarises students with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students following the story in their books with their fingers in synchronicity with the audio and with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Work in pairs. Choose the correct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Choose the correct answer has students discussing what they have understood from listening to the story through guided multiple-choice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collaboration and communication between students in their pairs, and correct answers which indicate successful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What do you think will happen to Red?",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do you think… allows students to predict the ending, creating deeper engagement and motivation when they read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engagement from all students, with all students on-task and making suggestions (which can be in their shared L1)."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tasks engage students at a deeper level by giving them a purpose to read. Listen and follow along… re-familiarises students with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story in their books with their fingers in synchronicity with the audio and all students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provides a model for natural intonation and authentic pronunciation of the language in the story which students then produce orally themselves."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echoing of the language (pronunciation and intonation)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of the language in the story through chorus reading aloud."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authentic intonation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provides an opportunity for freer, less-scaffolded production of the language in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that conveys an understanding of meaning, and all students participating actively."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Read and choose the correct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whilst developing other process skills. Read and choose the correct answer checks students’ comprehension of the story ending while recycling other language familiar to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which students can justify,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Work in pairs.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worksheet checks students’ comprehension of the story and vocabulary in a collaborative way, through a series of multiple-choice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collaborating, correct answers, neat circling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2 - 3. Discuss both endings. Which ending do you like best and why?",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Discuss activity allows students to express a personal opinion about the story, engaging critical thinking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being engaged and actively communicating their opinions, using English wherever possible supported by their shared L1."</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