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Before Reading",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"Before Reading establishes the context of the story Echo and Narcissus by engaging students with visual cues and guided questions to activate background knowledge and encourage prediction."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responses, relevant vocabulary, and active participation during picture discussion."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While Reading 1.a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"While Reading engages students at a deeper level by giving them a purpose to read.\n\nListen and follow along in your storybook provides a listening model and purpose for reading by allowing students to hear natural rhythm, stress, and pronunciation while tracking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students following along in their books, and correct tracking with fingers."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1 - 1.b Listen and echo.",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echo models correct pronunciation and intonation, allowing students to practice accurate repetition of key language from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echoing, accurate pronunciation, and active oral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and fluency through shared reading, supporting confidence and reinforcing correct rhythm and stress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appropriate intonation, and whole-group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is an opportunity for freer, less-scaffolded language use, encouraging confidence and expressive speaking through character interaction."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turn-taking,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1 - 4. Complete the worksheet",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worksheet checks students’ comprehension of key story details by requiring them to recall information and select correct answers independently."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answers, careful reading of questions, neat completion, and students staying focused and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Sing along!",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along reinforces comprehension and oral fluency through rhythmic repetition, making language memorable and engaging."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singing, clear pronunciation, and enthusiastic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C. After Reading 1.  Role 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Reading allows students to continue working with the language of the story as they review the story and show understanding by talking about what happened and organizing the main ideas in a clear order.\n\nRole play in groups provides students with an opportunity to use story language freely and creatively by reenacting scenes, supporting spoken fluency, confidence, and understanding of character roles."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speaking, appropriate use of story language, turn-taking, and active participation in group interaction."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2 - 2. Complete the story map in pairs",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story map in pairs checks students’ understanding of story structure, characters, setting, and key events by organizing information from the text into a beginning–middle–ending framework."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completion of details, correct use of vocabulary from the word bank, cooperative pair work, and students staying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