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establishes the context of the story of Arachne and Athena by engaging students with visual clues and guided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responses, neat handwriting, and participation in discussion."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tasks engage students at a deeper level by giving them a purpose to read. Listen and follow provides a model for students, allowing them to hear the natural rhythm and pronunciation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engagement,  and students following the story in their books with their fingers."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provides a model for intonation and pronunciation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echoing of the language,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of the language in the story through chorus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authentic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production of the language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 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1 - 4.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the story and vocabulary through a series of true or false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neat circling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further practises oral production of the story and reinforces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correct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Role 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Role play in groups provides students with the opportunity to perform together and produce the language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language that conveys an understanding of meaning, turn 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Complete the story map in pairs",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story map in pairs works on categorising, sequencing and communication skills. It also provides students with the opportunity to speculate on the story by predicting what happens next."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and logical predictions that demonstrate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