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Before Reading 1.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"Before Reading reviews what students have learnt so far, preparing students for the next part of the story. Listen and follow provides a model for students, checking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engagement,  and students following the story in their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Work in pairs. Match the characters with the correct sentences about them.",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"Work in pairs. Match the characters with the correct sentences about them \nchecks understanding of the main points of the story. Students work together to match the characters to descriptive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collaboration, team work and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What do you think will happen next?",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do you think will happen next? allows students to predict the next part of the story, fostering deeper engagement and motivation."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engagement, participation and appropriate predictions based on what they have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While Reading 1.a Listen to the two endings.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"While Reading tasks engage students at a deeper level by giving them a purpose to read. Listen and follow provides a model for students, allowing them to hear the natural rhythm and pronunciation of the language. The two endings provide students with a more engaging task and reason to listen."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story in their books with their fingers, and engagement."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1 - 1.b Listen and echo.",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echo provides a model for intonation and pronunciation of the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echoing of the language,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of the language in the story through chorus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authentic intonation,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 play in groups provides students with the opportunity to perform together and produce the language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production of the language that conveys an understanding of meaning, turn taking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C. After Reading 1.  Read the sentences and choose the correct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Reading allows students to continue working with the language of the story.\u000bRead the sentences and choose the correct answer checks students’ comprehension of the story ending."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which students can justify,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2 - 2. Work in pairs. Complete the worksheet.",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worksheet checks students’ comprehension of the story and vocabulary through a series of questions and ordering tasks, while discussing answers with one another.."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neat lines for matching, and working well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2 - 3. Discuss both endings Which ending do you like best? Why?",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"Discuss both endings encourages students to collaborate and form opinions and justify, fostering critical thinking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engagement, participation, forming and giving an opinion and justifying."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