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Arial" w:hAnsi="Arial"/>
          <w:b/>
          <w:i w:val="0"/>
          <w:color w:val="1F497D"/>
          <w:sz w:val="44"/>
        </w:rPr>
        <w:t>Cybersecurity: Detect Anomalies in Network Traffic</w:t>
      </w:r>
    </w:p>
    <w:p>
      <w:pPr>
        <w:spacing w:after="80"/>
        <w:jc w:val="center"/>
      </w:pPr>
      <w:r>
        <w:rPr>
          <w:rFonts w:ascii="Arial" w:hAnsi="Arial"/>
          <w:b w:val="0"/>
          <w:i w:val="0"/>
          <w:color w:val="404040"/>
          <w:sz w:val="26"/>
        </w:rPr>
        <w:t>Capstone Report  —  PGD Artificial Intelligence &amp; Machine Learning</w:t>
      </w:r>
    </w:p>
    <w:p>
      <w:pPr>
        <w:spacing w:after="40"/>
        <w:jc w:val="center"/>
      </w:pPr>
      <w:r>
        <w:rPr>
          <w:rFonts w:ascii="Arial" w:hAnsi="Arial"/>
          <w:b/>
          <w:i w:val="0"/>
          <w:sz w:val="24"/>
        </w:rPr>
        <w:t>Elito Chan Jr.</w:t>
      </w:r>
    </w:p>
    <w:p>
      <w:pPr>
        <w:spacing w:after="40"/>
        <w:jc w:val="center"/>
      </w:pPr>
      <w:r>
        <w:rPr>
          <w:rFonts w:ascii="Arial" w:hAnsi="Arial"/>
          <w:b w:val="0"/>
          <w:i/>
          <w:color w:val="606060"/>
          <w:sz w:val="22"/>
        </w:rPr>
        <w:t>Dataset: CICIDS2017 — Canadian Institute for Cybersecurity</w:t>
      </w:r>
    </w:p>
    <w:p>
      <w:r>
        <w:br w:type="page"/>
      </w:r>
    </w:p>
    <w:p>
      <w:pPr>
        <w:pStyle w:val="Heading1"/>
      </w:pPr>
      <w:r>
        <w:rPr>
          <w:rFonts w:ascii="Arial" w:hAnsi="Arial"/>
          <w:color w:val="1F497D"/>
        </w:rPr>
        <w:t>Problem Understanding &amp; Framing</w:t>
      </w:r>
    </w:p>
    <w:p>
      <w:pPr>
        <w:pBdr>
          <w:bottom w:val="single" w:sz="4" w:space="1" w:color="AAAAAA"/>
        </w:pBdr>
        <w:spacing w:after="200"/>
      </w:pPr>
    </w:p>
    <w:p>
      <w:pPr>
        <w:pStyle w:val="Heading2"/>
      </w:pPr>
      <w:r>
        <w:rPr>
          <w:rFonts w:ascii="Arial" w:hAnsi="Arial"/>
          <w:color w:val="1F497D"/>
        </w:rPr>
        <w:t>Business Context</w:t>
      </w:r>
    </w:p>
    <w:p>
      <w:pPr>
        <w:spacing w:after="120"/>
      </w:pPr>
      <w:r>
        <w:rPr>
          <w:rFonts w:ascii="Arial" w:hAnsi="Arial"/>
          <w:b w:val="0"/>
          <w:i w:val="0"/>
          <w:sz w:val="22"/>
        </w:rPr>
        <w:t>Organizations face a growing volume of network intrusions, data exfiltration attempts, and denial-of-service attacks that evade rule-based security systems. Security Operations Center (SOC) analysts are overwhelmed by alert fatigue, and manual inspection of network logs at scale is neither practical nor timely. The business need is to automatically distinguish malicious traffic from normal activity, reducing response time and operational cost while improving detection coverage.</w:t>
      </w:r>
    </w:p>
    <w:p>
      <w:pPr>
        <w:spacing w:after="120"/>
      </w:pPr>
      <w:r>
        <w:rPr>
          <w:rFonts w:ascii="Arial" w:hAnsi="Arial"/>
          <w:b w:val="0"/>
          <w:i w:val="0"/>
          <w:sz w:val="22"/>
        </w:rPr>
        <w:t>From a financial standpoint, the cost of inaction is significant. The IBM Cost of a Data Breach Report 2023 puts the global average breach cost at $4.45M per incident, with a mean time to identify and contain a breach of 277 days. Every day a threat goes undetected compounds remediation costs, regulatory exposure, and reputational damage. On the operational side, a typical mid-size SOC spends 25–30% of analyst time triaging false positives from signature-based systems, which translates to hundreds of thousands of dollars in wasted labor annually. An ML-based anomaly detection system that reduces false positives by even 30% and cuts MTTD from days to minutes can represent millions in annual cost avoidance, making it one of the highest-ROI investments in a cybersecurity budget.</w:t>
      </w:r>
    </w:p>
    <w:p>
      <w:pPr>
        <w:pStyle w:val="Heading2"/>
      </w:pPr>
      <w:r>
        <w:rPr>
          <w:rFonts w:ascii="Arial" w:hAnsi="Arial"/>
          <w:color w:val="1F497D"/>
        </w:rPr>
        <w:t>Data Science Problem</w:t>
      </w:r>
    </w:p>
    <w:p>
      <w:pPr>
        <w:spacing w:after="120"/>
      </w:pPr>
      <w:r>
        <w:rPr>
          <w:rFonts w:ascii="Arial" w:hAnsi="Arial"/>
          <w:b w:val="0"/>
          <w:i w:val="0"/>
          <w:sz w:val="22"/>
        </w:rPr>
        <w:t>Given labeled network traffic records (connection-level features such as packet size, duration, protocol, flag counts, byte ratios), the task is to build a model that classifies each connection as normal or an attack, and where possible, identifies the attack category (e.g., DoS, probe, R2L, U2R).</w:t>
      </w:r>
    </w:p>
    <w:p>
      <w:pPr>
        <w:pStyle w:val="Heading2"/>
      </w:pPr>
      <w:r>
        <w:rPr>
          <w:rFonts w:ascii="Arial" w:hAnsi="Arial"/>
          <w:color w:val="1F497D"/>
        </w:rPr>
        <w:t>Task Type</w:t>
      </w:r>
    </w:p>
    <w:p>
      <w:pPr>
        <w:spacing w:after="120"/>
      </w:pPr>
      <w:r>
        <w:rPr>
          <w:rFonts w:ascii="Arial" w:hAnsi="Arial"/>
          <w:b w:val="0"/>
          <w:i w:val="0"/>
          <w:sz w:val="22"/>
        </w:rPr>
        <w:t>Primary: Supervised binary classification (normal vs. attack). Secondary framing: multi-class classification if attack subtypes are labeled. Anomaly detection methods (unsupervised) serve as a complementary baseline, especially for detecting novel attack patterns not seen during training. The supervised approach is justified because well-established labeled datasets exist for network intrusion detection (e.g., NSL-KDD, CICIDS2017), allowing direct optimization against known attack categories. The unsupervised component reflects how production intrusion detection systems actually work — layering both approaches to handle both known and zero-day threats.</w:t>
      </w:r>
    </w:p>
    <w:p>
      <w:pPr>
        <w:pStyle w:val="Heading2"/>
      </w:pPr>
      <w:r>
        <w:rPr>
          <w:rFonts w:ascii="Arial" w:hAnsi="Arial"/>
          <w:color w:val="1F497D"/>
        </w:rPr>
        <w:t>Technical Success Metrics</w:t>
      </w:r>
    </w:p>
    <w:p>
      <w:pPr>
        <w:pStyle w:val="ListBullet"/>
        <w:spacing w:after="60"/>
        <w:ind w:left="360"/>
      </w:pPr>
      <w:r>
        <w:rPr>
          <w:rFonts w:ascii="Arial" w:hAnsi="Arial"/>
          <w:b w:val="0"/>
          <w:i w:val="0"/>
          <w:sz w:val="21"/>
        </w:rPr>
        <w:t>F1-Score (macro) — primary metric, balances precision and recall across imbalanced classes</w:t>
      </w:r>
    </w:p>
    <w:p>
      <w:pPr>
        <w:pStyle w:val="ListBullet"/>
        <w:spacing w:after="60"/>
        <w:ind w:left="360"/>
      </w:pPr>
      <w:r>
        <w:rPr>
          <w:rFonts w:ascii="Arial" w:hAnsi="Arial"/>
          <w:b w:val="0"/>
          <w:i w:val="0"/>
          <w:sz w:val="21"/>
        </w:rPr>
        <w:t>AUC-ROC — measures discriminative ability across classification thresholds</w:t>
      </w:r>
    </w:p>
    <w:p>
      <w:pPr>
        <w:pStyle w:val="ListBullet"/>
        <w:spacing w:after="60"/>
        <w:ind w:left="360"/>
      </w:pPr>
      <w:r>
        <w:rPr>
          <w:rFonts w:ascii="Arial" w:hAnsi="Arial"/>
          <w:b w:val="0"/>
          <w:i w:val="0"/>
          <w:sz w:val="21"/>
        </w:rPr>
        <w:t>Recall (sensitivity) — critical; a missed attack (false negative) is worse than a false alarm</w:t>
      </w:r>
    </w:p>
    <w:p>
      <w:pPr>
        <w:pStyle w:val="ListBullet"/>
        <w:spacing w:after="60"/>
        <w:ind w:left="360"/>
      </w:pPr>
      <w:r>
        <w:rPr>
          <w:rFonts w:ascii="Arial" w:hAnsi="Arial"/>
          <w:b w:val="0"/>
          <w:i w:val="0"/>
          <w:sz w:val="21"/>
        </w:rPr>
        <w:t>Precision — controls alert fatigue from false positives</w:t>
      </w:r>
    </w:p>
    <w:p>
      <w:pPr>
        <w:pStyle w:val="ListBullet"/>
        <w:spacing w:after="60"/>
        <w:ind w:left="360"/>
      </w:pPr>
      <w:r>
        <w:rPr>
          <w:rFonts w:ascii="Arial" w:hAnsi="Arial"/>
          <w:b w:val="0"/>
          <w:i w:val="0"/>
          <w:sz w:val="21"/>
        </w:rPr>
        <w:t>False Positive Rate (FPR) — directly ties to analyst workload</w:t>
      </w:r>
    </w:p>
    <w:p/>
    <w:p>
      <w:pPr>
        <w:spacing w:after="120"/>
      </w:pPr>
      <w:r>
        <w:rPr>
          <w:rFonts w:ascii="Arial" w:hAnsi="Arial"/>
          <w:b w:val="0"/>
          <w:i w:val="0"/>
          <w:sz w:val="22"/>
        </w:rPr>
        <w:t>Target thresholds: Recall &gt;= 0.95 on attack class, FPR &lt;= 0.05, AUC-ROC &gt;= 0.98.</w:t>
      </w:r>
    </w:p>
    <w:p>
      <w:pPr>
        <w:pStyle w:val="Heading2"/>
      </w:pPr>
      <w:r>
        <w:rPr>
          <w:rFonts w:ascii="Arial" w:hAnsi="Arial"/>
          <w:color w:val="1F497D"/>
        </w:rPr>
        <w:t>Business KPIs</w:t>
      </w:r>
    </w:p>
    <w:p>
      <w:pPr>
        <w:pStyle w:val="ListBullet"/>
        <w:spacing w:after="60"/>
        <w:ind w:left="360"/>
      </w:pPr>
      <w:r>
        <w:rPr>
          <w:rFonts w:ascii="Arial" w:hAnsi="Arial"/>
          <w:b w:val="0"/>
          <w:i w:val="0"/>
          <w:sz w:val="21"/>
        </w:rPr>
        <w:t>Mean Time to Detect (MTTD) — reduction in time from intrusion to alert</w:t>
      </w:r>
    </w:p>
    <w:p>
      <w:pPr>
        <w:pStyle w:val="ListBullet"/>
        <w:spacing w:after="60"/>
        <w:ind w:left="360"/>
      </w:pPr>
      <w:r>
        <w:rPr>
          <w:rFonts w:ascii="Arial" w:hAnsi="Arial"/>
          <w:b w:val="0"/>
          <w:i w:val="0"/>
          <w:sz w:val="21"/>
        </w:rPr>
        <w:t>Alert fatigue rate — percentage of alerts that are false positives; target &lt; 10%</w:t>
      </w:r>
    </w:p>
    <w:p>
      <w:pPr>
        <w:pStyle w:val="ListBullet"/>
        <w:spacing w:after="60"/>
        <w:ind w:left="360"/>
      </w:pPr>
      <w:r>
        <w:rPr>
          <w:rFonts w:ascii="Arial" w:hAnsi="Arial"/>
          <w:b w:val="0"/>
          <w:i w:val="0"/>
          <w:sz w:val="21"/>
        </w:rPr>
        <w:t>Analyst hours saved per week — proxy for cost reduction</w:t>
      </w:r>
    </w:p>
    <w:p>
      <w:pPr>
        <w:pStyle w:val="ListBullet"/>
        <w:spacing w:after="60"/>
        <w:ind w:left="360"/>
      </w:pPr>
      <w:r>
        <w:rPr>
          <w:rFonts w:ascii="Arial" w:hAnsi="Arial"/>
          <w:b w:val="0"/>
          <w:i w:val="0"/>
          <w:sz w:val="21"/>
        </w:rPr>
        <w:t>Cost avoidance — estimated financial impact of breaches prevented (~$4.45M per incident, IBM 2023)</w:t>
      </w:r>
    </w:p>
    <w:p>
      <w:pPr>
        <w:pStyle w:val="ListBullet"/>
        <w:spacing w:after="60"/>
        <w:ind w:left="360"/>
      </w:pPr>
      <w:r>
        <w:rPr>
          <w:rFonts w:ascii="Arial" w:hAnsi="Arial"/>
          <w:b w:val="0"/>
          <w:i w:val="0"/>
          <w:sz w:val="21"/>
        </w:rPr>
        <w:t>Coverage rate — percentage of known attack types the model can flag</w:t>
      </w:r>
    </w:p>
    <w:p>
      <w:r>
        <w:br w:type="page"/>
      </w:r>
    </w:p>
    <w:p>
      <w:pPr>
        <w:pStyle w:val="Heading1"/>
      </w:pPr>
      <w:r>
        <w:rPr>
          <w:rFonts w:ascii="Arial" w:hAnsi="Arial"/>
          <w:color w:val="1F497D"/>
        </w:rPr>
        <w:t>Data Collection &amp; Understanding</w:t>
      </w:r>
    </w:p>
    <w:p>
      <w:pPr>
        <w:pBdr>
          <w:bottom w:val="single" w:sz="4" w:space="1" w:color="AAAAAA"/>
        </w:pBdr>
        <w:spacing w:after="200"/>
      </w:pPr>
    </w:p>
    <w:p>
      <w:pPr>
        <w:pStyle w:val="Heading2"/>
      </w:pPr>
      <w:r>
        <w:rPr>
          <w:rFonts w:ascii="Arial" w:hAnsi="Arial"/>
          <w:color w:val="1F497D"/>
        </w:rPr>
        <w:t>Dataset Selection</w:t>
      </w:r>
    </w:p>
    <w:p>
      <w:pPr>
        <w:spacing w:after="120"/>
      </w:pPr>
      <w:r>
        <w:rPr>
          <w:rFonts w:ascii="Arial" w:hAnsi="Arial"/>
          <w:b w:val="0"/>
          <w:i w:val="0"/>
          <w:sz w:val="22"/>
        </w:rPr>
        <w:t>The CICIDS2017 dataset (CIC Intrusion Detection Evaluation Dataset 2017) was selected for this project. It was generated by the Canadian Institute for Cybersecurity at the University of New Brunswick over five days in July 2017, using CICFlowMeter to extract bidirectional network flow statistics from live traffic captures that included both realistic benign background activity and executed attack scenarios.</w:t>
      </w:r>
    </w:p>
    <w:p>
      <w:pPr>
        <w:spacing w:after="120"/>
      </w:pPr>
      <w:r>
        <w:rPr>
          <w:rFonts w:ascii="Arial" w:hAnsi="Arial"/>
          <w:b w:val="0"/>
          <w:i w:val="0"/>
          <w:sz w:val="22"/>
        </w:rPr>
        <w:t>CICIDS2017 is the most widely cited modern benchmark for network intrusion detection research, appearing in hundreds of peer-reviewed papers published since 2017. This makes it well-suited for a capstone project both in terms of academic credibility and the ability to compare results against published baselines. Compared to older datasets like KDD99 or NSL-KDD, it reflects contemporary network protocols, attack tooling, and traffic patterns, making its findings more transferable to real-world deployment.</w:t>
      </w:r>
    </w:p>
    <w:p>
      <w:pPr>
        <w:spacing w:after="120"/>
      </w:pPr>
      <w:r>
        <w:rPr>
          <w:rFonts w:ascii="Arial" w:hAnsi="Arial"/>
          <w:b w:val="0"/>
          <w:i w:val="0"/>
          <w:sz w:val="22"/>
        </w:rPr>
        <w:t>The dataset is publicly available on Kaggle (mirror: chethuhn/network-intrusion-dataset) and via the University of New Brunswick at https://www.unb.ca/cic/datasets/ids-2017.html.</w:t>
      </w:r>
    </w:p>
    <w:p>
      <w:pPr>
        <w:pStyle w:val="Heading2"/>
      </w:pPr>
      <w:r>
        <w:rPr>
          <w:rFonts w:ascii="Arial" w:hAnsi="Arial"/>
          <w:color w:val="1F497D"/>
        </w:rPr>
        <w:t>Dataset Dimensions</w:t>
      </w:r>
    </w:p>
    <w:p>
      <w:pPr>
        <w:spacing w:after="120"/>
      </w:pPr>
      <w:r>
        <w:rPr>
          <w:rFonts w:ascii="Arial" w:hAnsi="Arial"/>
          <w:b w:val="0"/>
          <w:i w:val="0"/>
          <w:sz w:val="22"/>
        </w:rPr>
        <w:t>The raw dataset spans 8 CSV files, one per day and session. After concatenating all files, removing the duplicate Fwd Header Length column, and applying a stratified sample to fit within available memory, the working dataset contains 499,993 flow records across 82 columns: 78 numeric feature columns, one categorical Label column, and 3 derived columns added during analysis (source file, attack category, binary label). The stratified sample preserves the original class proportions from the full 2.83 million record dataset.</w:t>
      </w:r>
    </w:p>
    <w:p>
      <w:pPr>
        <w:pStyle w:val="Heading2"/>
      </w:pPr>
      <w:r>
        <w:rPr>
          <w:rFonts w:ascii="Arial" w:hAnsi="Arial"/>
          <w:color w:val="1F497D"/>
        </w:rPr>
        <w:t>Feature Types</w:t>
      </w:r>
    </w:p>
    <w:p>
      <w:pPr>
        <w:spacing w:after="120"/>
      </w:pPr>
      <w:r>
        <w:rPr>
          <w:rFonts w:ascii="Arial" w:hAnsi="Arial"/>
          <w:b w:val="0"/>
          <w:i w:val="0"/>
          <w:sz w:val="22"/>
        </w:rPr>
        <w:t>All 78 input features are numeric, extracted by CICFlowMeter from bidirectional network flows. There are no categorical input features other than the label. The features fall into seven functional groups: flow timing, forward/backward packet statistics, byte volume and rate features, TCP flag counts, subflow and TCP window features, active/idle time features, and bulk transfer features.</w:t>
      </w:r>
    </w:p>
    <w:p>
      <w:pPr>
        <w:pStyle w:val="Heading2"/>
      </w:pPr>
      <w:r>
        <w:rPr>
          <w:rFonts w:ascii="Arial" w:hAnsi="Arial"/>
          <w:color w:val="1F497D"/>
        </w:rPr>
        <w:t>Class Distribution</w:t>
      </w:r>
    </w:p>
    <w:p>
      <w:pPr>
        <w:spacing w:after="120"/>
      </w:pPr>
      <w:r>
        <w:rPr>
          <w:rFonts w:ascii="Arial" w:hAnsi="Arial"/>
          <w:b w:val="0"/>
          <w:i w:val="0"/>
          <w:sz w:val="22"/>
        </w:rPr>
        <w:t>The working dataset contains 8 attack categories across 15 distinct label values. Class imbalance is severe: Benign traffic accounts for 401,501 records (80.30%). Among attack types, DoS variants are the largest group at 44,627 records (8.93%), followed by Probe at 28,072 (5.61%) and DDoS at 22,613 (4.52%). Brute Force attacks total 2,443 records (0.49%). Web Attacks appear as 384 records (0.08%). Botnet contains 347 records (0.07%) and Infiltration only 6 records (0.00%).</w:t>
      </w:r>
    </w:p>
    <w:p>
      <w:pPr>
        <w:spacing w:after="120"/>
      </w:pPr>
      <w:r>
        <w:rPr>
          <w:rFonts w:ascii="Arial" w:hAnsi="Arial"/>
          <w:b w:val="0"/>
          <w:i w:val="0"/>
          <w:sz w:val="22"/>
        </w:rPr>
        <w:t>The extreme underrepresentation of Botnet, Web Attack, and especially Infiltration is a known characteristic of CICIDS2017. Class imbalance is addressed through class weighting in all models.</w:t>
      </w:r>
    </w:p>
    <w:p>
      <w:pPr>
        <w:pStyle w:val="Heading2"/>
      </w:pPr>
      <w:r>
        <w:rPr>
          <w:rFonts w:ascii="Arial" w:hAnsi="Arial"/>
          <w:color w:val="1F497D"/>
        </w:rPr>
        <w:t>Missing Values &amp; Data Quality Issues</w:t>
      </w:r>
    </w:p>
    <w:p>
      <w:pPr>
        <w:spacing w:after="120"/>
      </w:pPr>
      <w:r>
        <w:rPr>
          <w:rFonts w:ascii="Arial" w:hAnsi="Arial"/>
          <w:b w:val="0"/>
          <w:i w:val="0"/>
          <w:sz w:val="22"/>
        </w:rPr>
        <w:t>Three data quality issues are present in the raw dataset and addressed in preprocessing:</w:t>
      </w:r>
    </w:p>
    <w:p>
      <w:pPr>
        <w:pStyle w:val="ListBullet"/>
        <w:spacing w:after="60"/>
        <w:ind w:left="360"/>
      </w:pPr>
      <w:r>
        <w:rPr>
          <w:rFonts w:ascii="Arial" w:hAnsi="Arial"/>
          <w:b w:val="0"/>
          <w:i w:val="0"/>
          <w:sz w:val="21"/>
        </w:rPr>
        <w:t>Missing values: 240 NaN entries present across rate-based features such as Flow Bytes/s — handled by row removal.</w:t>
      </w:r>
    </w:p>
    <w:p>
      <w:pPr>
        <w:pStyle w:val="ListBullet"/>
        <w:spacing w:after="60"/>
        <w:ind w:left="360"/>
      </w:pPr>
      <w:r>
        <w:rPr>
          <w:rFonts w:ascii="Arial" w:hAnsi="Arial"/>
          <w:b w:val="0"/>
          <w:i w:val="0"/>
          <w:sz w:val="21"/>
        </w:rPr>
        <w:t>Infinite values: Flow Packets/s (503 Inf) and Flow Bytes/s (263 Inf) arise when CICFlowMeter divides by zero for near-instantaneous flows — capped at 99.9th percentile.</w:t>
      </w:r>
    </w:p>
    <w:p>
      <w:pPr>
        <w:pStyle w:val="ListBullet"/>
        <w:spacing w:after="60"/>
        <w:ind w:left="360"/>
      </w:pPr>
      <w:r>
        <w:rPr>
          <w:rFonts w:ascii="Arial" w:hAnsi="Arial"/>
          <w:b w:val="0"/>
          <w:i w:val="0"/>
          <w:sz w:val="21"/>
        </w:rPr>
        <w:t>Zero-variance features: 8 columns have zero variance and 4 have near-zero variance — all 12 dropped in preprocessing.</w:t>
      </w:r>
    </w:p>
    <w:p>
      <w:pPr>
        <w:pStyle w:val="Heading2"/>
      </w:pPr>
      <w:r>
        <w:rPr>
          <w:rFonts w:ascii="Arial" w:hAnsi="Arial"/>
          <w:color w:val="1F497D"/>
        </w:rPr>
        <w:t>Outlier Summary</w:t>
      </w:r>
    </w:p>
    <w:p>
      <w:pPr>
        <w:spacing w:after="120"/>
      </w:pPr>
      <w:r>
        <w:rPr>
          <w:rFonts w:ascii="Arial" w:hAnsi="Arial"/>
          <w:b w:val="0"/>
          <w:i w:val="0"/>
          <w:sz w:val="22"/>
        </w:rPr>
        <w:t>Outliers are expected and meaningful in this dataset. Byte volume, rate, and timing features show extreme right skew driven by attack traffic. IQR-based outlier detection confirms the highest outlier prevalence in Fwd IAT Mean (23.64%), Fwd Packet Length Max (23.64%), and Fwd IAT Max (23.59%). Treatment focuses on log transformation and robust scaling rather than removal.</w:t>
      </w:r>
    </w:p>
    <w:p>
      <w:pPr>
        <w:pStyle w:val="Heading2"/>
      </w:pPr>
      <w:r>
        <w:rPr>
          <w:rFonts w:ascii="Arial" w:hAnsi="Arial"/>
          <w:color w:val="1F497D"/>
        </w:rPr>
        <w:t>Data Dictionary (Representative Entries)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F497D"/>
            <w:vAlign w:val="center"/>
          </w:tcPr>
          <w:p>
            <w:pPr>
              <w:spacing w:after="0"/>
            </w:pPr>
            <w:r>
              <w:rPr>
                <w:rFonts w:ascii="Arial" w:hAnsi="Arial"/>
                <w:b/>
                <w:i w:val="0"/>
                <w:color w:val="FFFFFF"/>
                <w:sz w:val="20"/>
              </w:rPr>
              <w:t>Feature</w:t>
            </w:r>
          </w:p>
        </w:tc>
        <w:tc>
          <w:tcPr>
            <w:tcW w:type="dxa" w:w="1296"/>
            <w:shd w:val="clear" w:color="auto" w:fill="1F497D"/>
            <w:vAlign w:val="center"/>
          </w:tcPr>
          <w:p>
            <w:pPr>
              <w:spacing w:after="0"/>
            </w:pPr>
            <w:r>
              <w:rPr>
                <w:rFonts w:ascii="Arial" w:hAnsi="Arial"/>
                <w:b/>
                <w:i w:val="0"/>
                <w:color w:val="FFFFFF"/>
                <w:sz w:val="20"/>
              </w:rPr>
              <w:t>Type</w:t>
            </w:r>
          </w:p>
        </w:tc>
        <w:tc>
          <w:tcPr>
            <w:tcW w:type="dxa" w:w="1872"/>
            <w:shd w:val="clear" w:color="auto" w:fill="1F497D"/>
            <w:vAlign w:val="center"/>
          </w:tcPr>
          <w:p>
            <w:pPr>
              <w:spacing w:after="0"/>
            </w:pPr>
            <w:r>
              <w:rPr>
                <w:rFonts w:ascii="Arial" w:hAnsi="Arial"/>
                <w:b/>
                <w:i w:val="0"/>
                <w:color w:val="FFFFFF"/>
                <w:sz w:val="20"/>
              </w:rPr>
              <w:t>Group</w:t>
            </w:r>
          </w:p>
        </w:tc>
        <w:tc>
          <w:tcPr>
            <w:tcW w:type="dxa" w:w="4118"/>
            <w:shd w:val="clear" w:color="auto" w:fill="1F497D"/>
            <w:vAlign w:val="center"/>
          </w:tcPr>
          <w:p>
            <w:pPr>
              <w:spacing w:after="0"/>
            </w:pPr>
            <w:r>
              <w:rPr>
                <w:rFonts w:ascii="Arial" w:hAnsi="Arial"/>
                <w:b/>
                <w:i w:val="0"/>
                <w:color w:val="FFFFFF"/>
                <w:sz w:val="20"/>
              </w:rPr>
              <w:t>Range</w:t>
            </w:r>
          </w:p>
        </w:tc>
      </w:tr>
      <w:tr>
        <w:tc>
          <w:tcPr>
            <w:tcW w:type="dxa" w:w="2880"/>
            <w:shd w:val="clear" w:color="auto" w:fill="EBF3FB"/>
          </w:tcPr>
          <w:p>
            <w:pPr>
              <w:spacing w:after="0"/>
            </w:pPr>
            <w:r>
              <w:rPr>
                <w:rFonts w:ascii="Arial" w:hAnsi="Arial"/>
                <w:b w:val="0"/>
                <w:i w:val="0"/>
                <w:sz w:val="19"/>
              </w:rPr>
              <w:t>Destination Port</w:t>
            </w:r>
          </w:p>
        </w:tc>
        <w:tc>
          <w:tcPr>
            <w:tcW w:type="dxa" w:w="1296"/>
            <w:shd w:val="clear" w:color="auto" w:fill="EBF3FB"/>
          </w:tcPr>
          <w:p>
            <w:pPr>
              <w:spacing w:after="0"/>
            </w:pPr>
            <w:r>
              <w:rPr>
                <w:rFonts w:ascii="Arial" w:hAnsi="Arial"/>
                <w:b w:val="0"/>
                <w:i w:val="0"/>
                <w:sz w:val="19"/>
              </w:rPr>
              <w:t>Integer</w:t>
            </w:r>
          </w:p>
        </w:tc>
        <w:tc>
          <w:tcPr>
            <w:tcW w:type="dxa" w:w="1872"/>
            <w:shd w:val="clear" w:color="auto" w:fill="EBF3FB"/>
          </w:tcPr>
          <w:p>
            <w:pPr>
              <w:spacing w:after="0"/>
            </w:pPr>
            <w:r>
              <w:rPr>
                <w:rFonts w:ascii="Arial" w:hAnsi="Arial"/>
                <w:b w:val="0"/>
                <w:i w:val="0"/>
                <w:sz w:val="19"/>
              </w:rPr>
              <w:t>Flow ID</w:t>
            </w:r>
          </w:p>
        </w:tc>
        <w:tc>
          <w:tcPr>
            <w:tcW w:type="dxa" w:w="4118"/>
            <w:shd w:val="clear" w:color="auto" w:fill="EBF3FB"/>
          </w:tcPr>
          <w:p>
            <w:pPr>
              <w:spacing w:after="0"/>
            </w:pPr>
            <w:r>
              <w:rPr>
                <w:rFonts w:ascii="Arial" w:hAnsi="Arial"/>
                <w:b w:val="0"/>
                <w:i w:val="0"/>
                <w:sz w:val="19"/>
              </w:rPr>
              <w:t>0–65535</w:t>
            </w:r>
          </w:p>
        </w:tc>
      </w:tr>
      <w:tr>
        <w:tc>
          <w:tcPr>
            <w:tcW w:type="dxa" w:w="2880"/>
            <w:shd w:val="clear" w:color="auto" w:fill="FFFFFF"/>
          </w:tcPr>
          <w:p>
            <w:pPr>
              <w:spacing w:after="0"/>
            </w:pPr>
            <w:r>
              <w:rPr>
                <w:rFonts w:ascii="Arial" w:hAnsi="Arial"/>
                <w:b w:val="0"/>
                <w:i w:val="0"/>
                <w:sz w:val="19"/>
              </w:rPr>
              <w:t>Flow Duration</w:t>
            </w:r>
          </w:p>
        </w:tc>
        <w:tc>
          <w:tcPr>
            <w:tcW w:type="dxa" w:w="1296"/>
            <w:shd w:val="clear" w:color="auto" w:fill="FFFFFF"/>
          </w:tcPr>
          <w:p>
            <w:pPr>
              <w:spacing w:after="0"/>
            </w:pPr>
            <w:r>
              <w:rPr>
                <w:rFonts w:ascii="Arial" w:hAnsi="Arial"/>
                <w:b w:val="0"/>
                <w:i w:val="0"/>
                <w:sz w:val="19"/>
              </w:rPr>
              <w:t>Float</w:t>
            </w:r>
          </w:p>
        </w:tc>
        <w:tc>
          <w:tcPr>
            <w:tcW w:type="dxa" w:w="1872"/>
            <w:shd w:val="clear" w:color="auto" w:fill="FFFFFF"/>
          </w:tcPr>
          <w:p>
            <w:pPr>
              <w:spacing w:after="0"/>
            </w:pPr>
            <w:r>
              <w:rPr>
                <w:rFonts w:ascii="Arial" w:hAnsi="Arial"/>
                <w:b w:val="0"/>
                <w:i w:val="0"/>
                <w:sz w:val="19"/>
              </w:rPr>
              <w:t>Flow Timing</w:t>
            </w:r>
          </w:p>
        </w:tc>
        <w:tc>
          <w:tcPr>
            <w:tcW w:type="dxa" w:w="4118"/>
            <w:shd w:val="clear" w:color="auto" w:fill="FFFFFF"/>
          </w:tcPr>
          <w:p>
            <w:pPr>
              <w:spacing w:after="0"/>
            </w:pPr>
            <w:r>
              <w:rPr>
                <w:rFonts w:ascii="Arial" w:hAnsi="Arial"/>
                <w:b w:val="0"/>
                <w:i w:val="0"/>
                <w:sz w:val="19"/>
              </w:rPr>
              <w:t>&gt;= 0 (µs)</w:t>
            </w:r>
          </w:p>
        </w:tc>
      </w:tr>
      <w:tr>
        <w:tc>
          <w:tcPr>
            <w:tcW w:type="dxa" w:w="2880"/>
            <w:shd w:val="clear" w:color="auto" w:fill="EBF3FB"/>
          </w:tcPr>
          <w:p>
            <w:pPr>
              <w:spacing w:after="0"/>
            </w:pPr>
            <w:r>
              <w:rPr>
                <w:rFonts w:ascii="Arial" w:hAnsi="Arial"/>
                <w:b w:val="0"/>
                <w:i w:val="0"/>
                <w:sz w:val="19"/>
              </w:rPr>
              <w:t>Total Fwd Packets</w:t>
            </w:r>
          </w:p>
        </w:tc>
        <w:tc>
          <w:tcPr>
            <w:tcW w:type="dxa" w:w="1296"/>
            <w:shd w:val="clear" w:color="auto" w:fill="EBF3FB"/>
          </w:tcPr>
          <w:p>
            <w:pPr>
              <w:spacing w:after="0"/>
            </w:pPr>
            <w:r>
              <w:rPr>
                <w:rFonts w:ascii="Arial" w:hAnsi="Arial"/>
                <w:b w:val="0"/>
                <w:i w:val="0"/>
                <w:sz w:val="19"/>
              </w:rPr>
              <w:t>Integer</w:t>
            </w:r>
          </w:p>
        </w:tc>
        <w:tc>
          <w:tcPr>
            <w:tcW w:type="dxa" w:w="1872"/>
            <w:shd w:val="clear" w:color="auto" w:fill="EBF3FB"/>
          </w:tcPr>
          <w:p>
            <w:pPr>
              <w:spacing w:after="0"/>
            </w:pPr>
            <w:r>
              <w:rPr>
                <w:rFonts w:ascii="Arial" w:hAnsi="Arial"/>
                <w:b w:val="0"/>
                <w:i w:val="0"/>
                <w:sz w:val="19"/>
              </w:rPr>
              <w:t>Fwd Packets</w:t>
            </w:r>
          </w:p>
        </w:tc>
        <w:tc>
          <w:tcPr>
            <w:tcW w:type="dxa" w:w="4118"/>
            <w:shd w:val="clear" w:color="auto" w:fill="EBF3FB"/>
          </w:tcPr>
          <w:p>
            <w:pPr>
              <w:spacing w:after="0"/>
            </w:pPr>
            <w:r>
              <w:rPr>
                <w:rFonts w:ascii="Arial" w:hAnsi="Arial"/>
                <w:b w:val="0"/>
                <w:i w:val="0"/>
                <w:sz w:val="19"/>
              </w:rPr>
              <w:t>&gt;= 0</w:t>
            </w:r>
          </w:p>
        </w:tc>
      </w:tr>
      <w:tr>
        <w:tc>
          <w:tcPr>
            <w:tcW w:type="dxa" w:w="2880"/>
            <w:shd w:val="clear" w:color="auto" w:fill="FFFFFF"/>
          </w:tcPr>
          <w:p>
            <w:pPr>
              <w:spacing w:after="0"/>
            </w:pPr>
            <w:r>
              <w:rPr>
                <w:rFonts w:ascii="Arial" w:hAnsi="Arial"/>
                <w:b w:val="0"/>
                <w:i w:val="0"/>
                <w:sz w:val="19"/>
              </w:rPr>
              <w:t>Flow Bytes/s</w:t>
            </w:r>
          </w:p>
        </w:tc>
        <w:tc>
          <w:tcPr>
            <w:tcW w:type="dxa" w:w="1296"/>
            <w:shd w:val="clear" w:color="auto" w:fill="FFFFFF"/>
          </w:tcPr>
          <w:p>
            <w:pPr>
              <w:spacing w:after="0"/>
            </w:pPr>
            <w:r>
              <w:rPr>
                <w:rFonts w:ascii="Arial" w:hAnsi="Arial"/>
                <w:b w:val="0"/>
                <w:i w:val="0"/>
                <w:sz w:val="19"/>
              </w:rPr>
              <w:t>Float</w:t>
            </w:r>
          </w:p>
        </w:tc>
        <w:tc>
          <w:tcPr>
            <w:tcW w:type="dxa" w:w="1872"/>
            <w:shd w:val="clear" w:color="auto" w:fill="FFFFFF"/>
          </w:tcPr>
          <w:p>
            <w:pPr>
              <w:spacing w:after="0"/>
            </w:pPr>
            <w:r>
              <w:rPr>
                <w:rFonts w:ascii="Arial" w:hAnsi="Arial"/>
                <w:b w:val="0"/>
                <w:i w:val="0"/>
                <w:sz w:val="19"/>
              </w:rPr>
              <w:t>Rate</w:t>
            </w:r>
          </w:p>
        </w:tc>
        <w:tc>
          <w:tcPr>
            <w:tcW w:type="dxa" w:w="4118"/>
            <w:shd w:val="clear" w:color="auto" w:fill="FFFFFF"/>
          </w:tcPr>
          <w:p>
            <w:pPr>
              <w:spacing w:after="0"/>
            </w:pPr>
            <w:r>
              <w:rPr>
                <w:rFonts w:ascii="Arial" w:hAnsi="Arial"/>
                <w:b w:val="0"/>
                <w:i w:val="0"/>
                <w:sz w:val="19"/>
              </w:rPr>
              <w:t>&gt;= 0; Inf when duration=0</w:t>
            </w:r>
          </w:p>
        </w:tc>
      </w:tr>
      <w:tr>
        <w:tc>
          <w:tcPr>
            <w:tcW w:type="dxa" w:w="2880"/>
            <w:shd w:val="clear" w:color="auto" w:fill="EBF3FB"/>
          </w:tcPr>
          <w:p>
            <w:pPr>
              <w:spacing w:after="0"/>
            </w:pPr>
            <w:r>
              <w:rPr>
                <w:rFonts w:ascii="Arial" w:hAnsi="Arial"/>
                <w:b w:val="0"/>
                <w:i w:val="0"/>
                <w:sz w:val="19"/>
              </w:rPr>
              <w:t>SYN Flag Count</w:t>
            </w:r>
          </w:p>
        </w:tc>
        <w:tc>
          <w:tcPr>
            <w:tcW w:type="dxa" w:w="1296"/>
            <w:shd w:val="clear" w:color="auto" w:fill="EBF3FB"/>
          </w:tcPr>
          <w:p>
            <w:pPr>
              <w:spacing w:after="0"/>
            </w:pPr>
            <w:r>
              <w:rPr>
                <w:rFonts w:ascii="Arial" w:hAnsi="Arial"/>
                <w:b w:val="0"/>
                <w:i w:val="0"/>
                <w:sz w:val="19"/>
              </w:rPr>
              <w:t>Integer</w:t>
            </w:r>
          </w:p>
        </w:tc>
        <w:tc>
          <w:tcPr>
            <w:tcW w:type="dxa" w:w="1872"/>
            <w:shd w:val="clear" w:color="auto" w:fill="EBF3FB"/>
          </w:tcPr>
          <w:p>
            <w:pPr>
              <w:spacing w:after="0"/>
            </w:pPr>
            <w:r>
              <w:rPr>
                <w:rFonts w:ascii="Arial" w:hAnsi="Arial"/>
                <w:b w:val="0"/>
                <w:i w:val="0"/>
                <w:sz w:val="19"/>
              </w:rPr>
              <w:t>TCP Flags</w:t>
            </w:r>
          </w:p>
        </w:tc>
        <w:tc>
          <w:tcPr>
            <w:tcW w:type="dxa" w:w="4118"/>
            <w:shd w:val="clear" w:color="auto" w:fill="EBF3FB"/>
          </w:tcPr>
          <w:p>
            <w:pPr>
              <w:spacing w:after="0"/>
            </w:pPr>
            <w:r>
              <w:rPr>
                <w:rFonts w:ascii="Arial" w:hAnsi="Arial"/>
                <w:b w:val="0"/>
                <w:i w:val="0"/>
                <w:sz w:val="19"/>
              </w:rPr>
              <w:t>0–N; high values signal SYN flood</w:t>
            </w:r>
          </w:p>
        </w:tc>
      </w:tr>
      <w:tr>
        <w:tc>
          <w:tcPr>
            <w:tcW w:type="dxa" w:w="2880"/>
            <w:shd w:val="clear" w:color="auto" w:fill="FFFFFF"/>
          </w:tcPr>
          <w:p>
            <w:pPr>
              <w:spacing w:after="0"/>
            </w:pPr>
            <w:r>
              <w:rPr>
                <w:rFonts w:ascii="Arial" w:hAnsi="Arial"/>
                <w:b w:val="0"/>
                <w:i w:val="0"/>
                <w:sz w:val="19"/>
              </w:rPr>
              <w:t>Init_Win_bytes_forward</w:t>
            </w:r>
          </w:p>
        </w:tc>
        <w:tc>
          <w:tcPr>
            <w:tcW w:type="dxa" w:w="1296"/>
            <w:shd w:val="clear" w:color="auto" w:fill="FFFFFF"/>
          </w:tcPr>
          <w:p>
            <w:pPr>
              <w:spacing w:after="0"/>
            </w:pPr>
            <w:r>
              <w:rPr>
                <w:rFonts w:ascii="Arial" w:hAnsi="Arial"/>
                <w:b w:val="0"/>
                <w:i w:val="0"/>
                <w:sz w:val="19"/>
              </w:rPr>
              <w:t>Integer</w:t>
            </w:r>
          </w:p>
        </w:tc>
        <w:tc>
          <w:tcPr>
            <w:tcW w:type="dxa" w:w="1872"/>
            <w:shd w:val="clear" w:color="auto" w:fill="FFFFFF"/>
          </w:tcPr>
          <w:p>
            <w:pPr>
              <w:spacing w:after="0"/>
            </w:pPr>
            <w:r>
              <w:rPr>
                <w:rFonts w:ascii="Arial" w:hAnsi="Arial"/>
                <w:b w:val="0"/>
                <w:i w:val="0"/>
                <w:sz w:val="19"/>
              </w:rPr>
              <w:t>TCP Window</w:t>
            </w:r>
          </w:p>
        </w:tc>
        <w:tc>
          <w:tcPr>
            <w:tcW w:type="dxa" w:w="4118"/>
            <w:shd w:val="clear" w:color="auto" w:fill="FFFFFF"/>
          </w:tcPr>
          <w:p>
            <w:pPr>
              <w:spacing w:after="0"/>
            </w:pPr>
            <w:r>
              <w:rPr>
                <w:rFonts w:ascii="Arial" w:hAnsi="Arial"/>
                <w:b w:val="0"/>
                <w:i w:val="0"/>
                <w:sz w:val="19"/>
              </w:rPr>
              <w:t>-1 to 65535; -1 if non-TCP</w:t>
            </w:r>
          </w:p>
        </w:tc>
      </w:tr>
      <w:tr>
        <w:tc>
          <w:tcPr>
            <w:tcW w:type="dxa" w:w="2880"/>
            <w:shd w:val="clear" w:color="auto" w:fill="EBF3FB"/>
          </w:tcPr>
          <w:p>
            <w:pPr>
              <w:spacing w:after="0"/>
            </w:pPr>
            <w:r>
              <w:rPr>
                <w:rFonts w:ascii="Arial" w:hAnsi="Arial"/>
                <w:b w:val="0"/>
                <w:i w:val="0"/>
                <w:sz w:val="19"/>
              </w:rPr>
              <w:t>Active Mean</w:t>
            </w:r>
          </w:p>
        </w:tc>
        <w:tc>
          <w:tcPr>
            <w:tcW w:type="dxa" w:w="1296"/>
            <w:shd w:val="clear" w:color="auto" w:fill="EBF3FB"/>
          </w:tcPr>
          <w:p>
            <w:pPr>
              <w:spacing w:after="0"/>
            </w:pPr>
            <w:r>
              <w:rPr>
                <w:rFonts w:ascii="Arial" w:hAnsi="Arial"/>
                <w:b w:val="0"/>
                <w:i w:val="0"/>
                <w:sz w:val="19"/>
              </w:rPr>
              <w:t>Float</w:t>
            </w:r>
          </w:p>
        </w:tc>
        <w:tc>
          <w:tcPr>
            <w:tcW w:type="dxa" w:w="1872"/>
            <w:shd w:val="clear" w:color="auto" w:fill="EBF3FB"/>
          </w:tcPr>
          <w:p>
            <w:pPr>
              <w:spacing w:after="0"/>
            </w:pPr>
            <w:r>
              <w:rPr>
                <w:rFonts w:ascii="Arial" w:hAnsi="Arial"/>
                <w:b w:val="0"/>
                <w:i w:val="0"/>
                <w:sz w:val="19"/>
              </w:rPr>
              <w:t>Active/Idle</w:t>
            </w:r>
          </w:p>
        </w:tc>
        <w:tc>
          <w:tcPr>
            <w:tcW w:type="dxa" w:w="4118"/>
            <w:shd w:val="clear" w:color="auto" w:fill="EBF3FB"/>
          </w:tcPr>
          <w:p>
            <w:pPr>
              <w:spacing w:after="0"/>
            </w:pPr>
            <w:r>
              <w:rPr>
                <w:rFonts w:ascii="Arial" w:hAnsi="Arial"/>
                <w:b w:val="0"/>
                <w:i w:val="0"/>
                <w:sz w:val="19"/>
              </w:rPr>
              <w:t>&gt;= 0 (µs)</w:t>
            </w:r>
          </w:p>
        </w:tc>
      </w:tr>
      <w:tr>
        <w:tc>
          <w:tcPr>
            <w:tcW w:type="dxa" w:w="2880"/>
            <w:shd w:val="clear" w:color="auto" w:fill="FFFFFF"/>
          </w:tcPr>
          <w:p>
            <w:pPr>
              <w:spacing w:after="0"/>
            </w:pPr>
            <w:r>
              <w:rPr>
                <w:rFonts w:ascii="Arial" w:hAnsi="Arial"/>
                <w:b w:val="0"/>
                <w:i w:val="0"/>
                <w:sz w:val="19"/>
              </w:rPr>
              <w:t>Label</w:t>
            </w:r>
          </w:p>
        </w:tc>
        <w:tc>
          <w:tcPr>
            <w:tcW w:type="dxa" w:w="1296"/>
            <w:shd w:val="clear" w:color="auto" w:fill="FFFFFF"/>
          </w:tcPr>
          <w:p>
            <w:pPr>
              <w:spacing w:after="0"/>
            </w:pPr>
            <w:r>
              <w:rPr>
                <w:rFonts w:ascii="Arial" w:hAnsi="Arial"/>
                <w:b w:val="0"/>
                <w:i w:val="0"/>
                <w:sz w:val="19"/>
              </w:rPr>
              <w:t>Nominal</w:t>
            </w:r>
          </w:p>
        </w:tc>
        <w:tc>
          <w:tcPr>
            <w:tcW w:type="dxa" w:w="1872"/>
            <w:shd w:val="clear" w:color="auto" w:fill="FFFFFF"/>
          </w:tcPr>
          <w:p>
            <w:pPr>
              <w:spacing w:after="0"/>
            </w:pPr>
            <w:r>
              <w:rPr>
                <w:rFonts w:ascii="Arial" w:hAnsi="Arial"/>
                <w:b w:val="0"/>
                <w:i w:val="0"/>
                <w:sz w:val="19"/>
              </w:rPr>
              <w:t>Label</w:t>
            </w:r>
          </w:p>
        </w:tc>
        <w:tc>
          <w:tcPr>
            <w:tcW w:type="dxa" w:w="4118"/>
            <w:shd w:val="clear" w:color="auto" w:fill="FFFFFF"/>
          </w:tcPr>
          <w:p>
            <w:pPr>
              <w:spacing w:after="0"/>
            </w:pPr>
            <w:r>
              <w:rPr>
                <w:rFonts w:ascii="Arial" w:hAnsi="Arial"/>
                <w:b w:val="0"/>
                <w:i w:val="0"/>
                <w:sz w:val="19"/>
              </w:rPr>
              <w:t>15 values including BENIGN and 14 attack subtypes</w:t>
            </w:r>
          </w:p>
        </w:tc>
      </w:tr>
    </w:tbl>
    <w:p/>
    <w:p>
      <w:r>
        <w:br w:type="page"/>
      </w:r>
    </w:p>
    <w:p>
      <w:pPr>
        <w:pStyle w:val="Heading1"/>
      </w:pPr>
      <w:r>
        <w:rPr>
          <w:rFonts w:ascii="Arial" w:hAnsi="Arial"/>
          <w:color w:val="1F497D"/>
        </w:rPr>
        <w:t>Data Preprocessing, Applied EDA &amp; Feature Engineering</w:t>
      </w:r>
    </w:p>
    <w:p>
      <w:pPr>
        <w:pBdr>
          <w:bottom w:val="single" w:sz="4" w:space="1" w:color="AAAAAA"/>
        </w:pBdr>
        <w:spacing w:after="200"/>
      </w:pPr>
    </w:p>
    <w:p>
      <w:pPr>
        <w:pStyle w:val="Heading2"/>
      </w:pPr>
      <w:r>
        <w:rPr>
          <w:rFonts w:ascii="Arial" w:hAnsi="Arial"/>
          <w:color w:val="1F497D"/>
        </w:rPr>
        <w:t>Preprocessing Pipeline</w:t>
      </w:r>
    </w:p>
    <w:p>
      <w:pPr>
        <w:spacing w:after="120"/>
      </w:pPr>
      <w:r>
        <w:rPr>
          <w:rFonts w:ascii="Arial" w:hAnsi="Arial"/>
          <w:b w:val="0"/>
          <w:i w:val="0"/>
          <w:sz w:val="22"/>
        </w:rPr>
        <w:t>The preprocessing pipeline follows five ordered steps to produce a clean, model-ready dataset.</w:t>
      </w:r>
    </w:p>
    <w:p>
      <w:pPr>
        <w:pStyle w:val="ListBullet"/>
        <w:spacing w:after="60"/>
        <w:ind w:left="360"/>
      </w:pPr>
      <w:r>
        <w:rPr>
          <w:rFonts w:ascii="Arial" w:hAnsi="Arial"/>
          <w:b w:val="0"/>
          <w:i w:val="0"/>
          <w:sz w:val="21"/>
        </w:rPr>
        <w:t>Duplicate row removal: identical flow records dropped using numeric feature columns as deduplication key. Working dataset after deduplication: 467,589 rows.</w:t>
      </w:r>
    </w:p>
    <w:p>
      <w:pPr>
        <w:pStyle w:val="ListBullet"/>
        <w:spacing w:after="60"/>
        <w:ind w:left="360"/>
      </w:pPr>
      <w:r>
        <w:rPr>
          <w:rFonts w:ascii="Arial" w:hAnsi="Arial"/>
          <w:b w:val="0"/>
          <w:i w:val="0"/>
          <w:sz w:val="21"/>
        </w:rPr>
        <w:t>Zero-variance and near-zero-variance feature removal: 8 zero-variance and 4 near-zero-variance columns removed. Feature count: 78 to 66.</w:t>
      </w:r>
    </w:p>
    <w:p>
      <w:pPr>
        <w:pStyle w:val="ListBullet"/>
        <w:spacing w:after="60"/>
        <w:ind w:left="360"/>
      </w:pPr>
      <w:r>
        <w:rPr>
          <w:rFonts w:ascii="Arial" w:hAnsi="Arial"/>
          <w:b w:val="0"/>
          <w:i w:val="0"/>
          <w:sz w:val="21"/>
        </w:rPr>
        <w:t>Missing value handling: NaN entries removed by row deletion — negligible fraction of 467,589 records with no meaningful effect on class proportions.</w:t>
      </w:r>
    </w:p>
    <w:p>
      <w:pPr>
        <w:pStyle w:val="ListBullet"/>
        <w:spacing w:after="60"/>
        <w:ind w:left="360"/>
      </w:pPr>
      <w:r>
        <w:rPr>
          <w:rFonts w:ascii="Arial" w:hAnsi="Arial"/>
          <w:b w:val="0"/>
          <w:i w:val="0"/>
          <w:sz w:val="21"/>
        </w:rPr>
        <w:t>Infinite value capping: Flow Bytes/s and Flow Packets/s capped at 99.9th percentile of finite values per column.</w:t>
      </w:r>
    </w:p>
    <w:p>
      <w:pPr>
        <w:pStyle w:val="ListBullet"/>
        <w:spacing w:after="60"/>
        <w:ind w:left="360"/>
      </w:pPr>
      <w:r>
        <w:rPr>
          <w:rFonts w:ascii="Arial" w:hAnsi="Arial"/>
          <w:b w:val="0"/>
          <w:i w:val="0"/>
          <w:sz w:val="21"/>
        </w:rPr>
        <w:t>Log1p transformation: applied to 29 features with absolute skewness above 5 and non-negative minimum. Robust scaling (median + IQR) applied last; scaler saved to models/robust_scaler.pkl.</w:t>
      </w:r>
    </w:p>
    <w:p>
      <w:pPr>
        <w:pStyle w:val="Heading2"/>
      </w:pPr>
      <w:r>
        <w:rPr>
          <w:rFonts w:ascii="Arial" w:hAnsi="Arial"/>
          <w:color w:val="1F497D"/>
        </w:rPr>
        <w:t>Feature Engineering</w:t>
      </w:r>
    </w:p>
    <w:p>
      <w:pPr>
        <w:spacing w:after="120"/>
      </w:pPr>
      <w:r>
        <w:rPr>
          <w:rFonts w:ascii="Arial" w:hAnsi="Arial"/>
          <w:b w:val="0"/>
          <w:i w:val="0"/>
          <w:sz w:val="22"/>
        </w:rPr>
        <w:t>Five domain-derived features were added to supplement the 66 base CICFlowMeter columns, bringing the total to 71 before selection:</w:t>
      </w:r>
    </w:p>
    <w:p>
      <w:pPr>
        <w:pStyle w:val="ListBullet"/>
        <w:spacing w:after="60"/>
        <w:ind w:left="360"/>
      </w:pPr>
      <w:r>
        <w:rPr>
          <w:rFonts w:ascii="Arial" w:hAnsi="Arial"/>
          <w:b w:val="0"/>
          <w:i w:val="0"/>
          <w:sz w:val="21"/>
        </w:rPr>
        <w:t>Byte asymmetry: (fwd_bytes - bwd_bytes) / (fwd_bytes + bwd_bytes + epsilon). Captures directional imbalance characteristic of DoS and scanning traffic.</w:t>
      </w:r>
    </w:p>
    <w:p>
      <w:pPr>
        <w:pStyle w:val="ListBullet"/>
        <w:spacing w:after="60"/>
        <w:ind w:left="360"/>
      </w:pPr>
      <w:r>
        <w:rPr>
          <w:rFonts w:ascii="Arial" w:hAnsi="Arial"/>
          <w:b w:val="0"/>
          <w:i w:val="0"/>
          <w:sz w:val="21"/>
        </w:rPr>
        <w:t>Packet asymmetry: same ratio applied to packet counts, capturing scan probes with many small packets in one direction.</w:t>
      </w:r>
    </w:p>
    <w:p>
      <w:pPr>
        <w:pStyle w:val="ListBullet"/>
        <w:spacing w:after="60"/>
        <w:ind w:left="360"/>
      </w:pPr>
      <w:r>
        <w:rPr>
          <w:rFonts w:ascii="Arial" w:hAnsi="Arial"/>
          <w:b w:val="0"/>
          <w:i w:val="0"/>
          <w:sz w:val="21"/>
        </w:rPr>
        <w:t>Flag intensity: sum of SYN and FIN flag counts divided by total packets. Normalised measure more informative than raw flag counts.</w:t>
      </w:r>
    </w:p>
    <w:p>
      <w:pPr>
        <w:pStyle w:val="ListBullet"/>
        <w:spacing w:after="60"/>
        <w:ind w:left="360"/>
      </w:pPr>
      <w:r>
        <w:rPr>
          <w:rFonts w:ascii="Arial" w:hAnsi="Arial"/>
          <w:b w:val="0"/>
          <w:i w:val="0"/>
          <w:sz w:val="21"/>
        </w:rPr>
        <w:t>Payload-to-header ratio (forward): quantifies data vs. TCP/IP header overhead. Low ratios characterise scanning traffic.</w:t>
      </w:r>
    </w:p>
    <w:p>
      <w:pPr>
        <w:pStyle w:val="ListBullet"/>
        <w:spacing w:after="60"/>
        <w:ind w:left="360"/>
      </w:pPr>
      <w:r>
        <w:rPr>
          <w:rFonts w:ascii="Arial" w:hAnsi="Arial"/>
          <w:b w:val="0"/>
          <w:i w:val="0"/>
          <w:sz w:val="21"/>
        </w:rPr>
        <w:t>Duration bin: Flow Duration encoded into five ordered categories (zero, sub-ms, sub-100ms, sub-second, one-second-plus).</w:t>
      </w:r>
    </w:p>
    <w:p>
      <w:pPr>
        <w:pStyle w:val="Heading2"/>
      </w:pPr>
      <w:r>
        <w:rPr>
          <w:rFonts w:ascii="Arial" w:hAnsi="Arial"/>
          <w:color w:val="1F497D"/>
        </w:rPr>
        <w:t>Applied EDA</w:t>
      </w:r>
    </w:p>
    <w:p>
      <w:pPr>
        <w:spacing w:after="120"/>
      </w:pPr>
      <w:r>
        <w:rPr>
          <w:rFonts w:ascii="Arial" w:hAnsi="Arial"/>
          <w:b w:val="0"/>
          <w:i w:val="0"/>
          <w:sz w:val="22"/>
        </w:rPr>
        <w:t>KDE plots of scaled features by binary label confirm separation between benign and attack distributions across all five key features. Byte asymmetry and flag intensity show particularly clean separation. The correlation heatmap over the top 25 features reveals tight clusters of inter-correlated features, justifying the correlation filter in feature selection. Features with highest linear correlation to the binary label are backward packet length statistics: Bwd Packet Length Std (0.567), Bwd Packet Length Max (0.551), Bwd Packet Length Mean (0.547). The attack category profile heatmap confirms each attack type has a distinct signature. DDoS and DoS attacks score high on packet asymmetry and flag intensity. Botnet and Infiltration flows are visually closer to Benign, reflecting their stealthier nature.</w:t>
      </w:r>
    </w:p>
    <w:p>
      <w:pPr>
        <w:pStyle w:val="Heading2"/>
      </w:pPr>
      <w:r>
        <w:rPr>
          <w:rFonts w:ascii="Arial" w:hAnsi="Arial"/>
          <w:color w:val="1F497D"/>
        </w:rPr>
        <w:t>SHAP Feature Importance</w:t>
      </w:r>
    </w:p>
    <w:p>
      <w:pPr>
        <w:spacing w:after="120"/>
      </w:pPr>
      <w:r>
        <w:rPr>
          <w:rFonts w:ascii="Arial" w:hAnsi="Arial"/>
          <w:b w:val="0"/>
          <w:i w:val="0"/>
          <w:sz w:val="22"/>
        </w:rPr>
        <w:t>A RandomForest (100 trees, max_depth=10, balanced class weights) was trained on a 20,000-row stratified subsample. TreeSHAP computed exact Shapley values for 500 background samples. The top feature by mean absolute SHAP value is the engineered byte_asymmetry (0.0360), outranking all 66 original CICFlowMeter columns. The dominant feature group overall is backward packet length statistics. Destination Port ranks second (0.0318). The beeswarm plot shows that high values of byte_asymmetry, Bwd Packet Length Std, and Destination Port consistently push predictions toward the attack class.</w:t>
      </w:r>
    </w:p>
    <w:p>
      <w:pPr>
        <w:pStyle w:val="Heading2"/>
      </w:pPr>
      <w:r>
        <w:rPr>
          <w:rFonts w:ascii="Arial" w:hAnsi="Arial"/>
          <w:color w:val="1F497D"/>
        </w:rPr>
        <w:t>Feature Selection</w:t>
      </w:r>
    </w:p>
    <w:p>
      <w:pPr>
        <w:spacing w:after="120"/>
      </w:pPr>
      <w:r>
        <w:rPr>
          <w:rFonts w:ascii="Arial" w:hAnsi="Arial"/>
          <w:b w:val="0"/>
          <w:i w:val="0"/>
          <w:sz w:val="22"/>
        </w:rPr>
        <w:t>Feature selection was applied in three stages: (1) Variance Threshold (0.01 on scaled features) removed remaining low-variance features; (2) Correlation filter removed one of each pair with Pearson correlation above 0.95, keeping the higher-SHAP feature; (3) SHAP-based top-40 selection retained the 40 highest-SHAP features. This pipeline reduces dimensionality from 71 to 40 features. The final list is saved to models/selected_features.csv.</w:t>
      </w:r>
    </w:p>
    <w:p>
      <w:pPr>
        <w:pStyle w:val="Heading2"/>
      </w:pPr>
      <w:r>
        <w:rPr>
          <w:rFonts w:ascii="Arial" w:hAnsi="Arial"/>
          <w:color w:val="1F497D"/>
        </w:rPr>
        <w:t>Dimensionality Reduction</w:t>
      </w:r>
    </w:p>
    <w:p>
      <w:pPr>
        <w:spacing w:after="120"/>
      </w:pPr>
      <w:r>
        <w:rPr>
          <w:rFonts w:ascii="Arial" w:hAnsi="Arial"/>
          <w:b w:val="0"/>
          <w:i w:val="0"/>
          <w:sz w:val="22"/>
        </w:rPr>
        <w:t>PCA applied to the 40 selected features. The cumulative variance plot shows 95% of variance retained by just 3 components, reflecting high inter-correlation of network flow features. The PCA 2D scatter confirms PC1 and PC2 alone separate Benign, DDoS, DoS, and Probe into visually distinct regions. t-SNE (run on the 3-component PCA-reduced data, 10,000-row sample, perplexity=30) reveals tighter clusters for DDoS and DoS. Botnet and Infiltration remain partially embedded within the Benign cluster in both reductions.</w:t>
      </w:r>
    </w:p>
    <w:p>
      <w:r>
        <w:br w:type="page"/>
      </w:r>
    </w:p>
    <w:p>
      <w:pPr>
        <w:pStyle w:val="Heading1"/>
      </w:pPr>
      <w:r>
        <w:rPr>
          <w:rFonts w:ascii="Arial" w:hAnsi="Arial"/>
          <w:color w:val="1F497D"/>
        </w:rPr>
        <w:t>Model Implementation &amp; Comparison</w:t>
      </w:r>
    </w:p>
    <w:p>
      <w:pPr>
        <w:pBdr>
          <w:bottom w:val="single" w:sz="4" w:space="1" w:color="AAAAAA"/>
        </w:pBdr>
        <w:spacing w:after="200"/>
      </w:pPr>
    </w:p>
    <w:p>
      <w:pPr>
        <w:pStyle w:val="Heading2"/>
      </w:pPr>
      <w:r>
        <w:rPr>
          <w:rFonts w:ascii="Arial" w:hAnsi="Arial"/>
          <w:color w:val="1F497D"/>
        </w:rPr>
        <w:t>Model Selection Rationale</w:t>
      </w:r>
    </w:p>
    <w:p>
      <w:pPr>
        <w:spacing w:after="120"/>
      </w:pPr>
      <w:r>
        <w:rPr>
          <w:rFonts w:ascii="Arial" w:hAnsi="Arial"/>
          <w:b w:val="0"/>
          <w:i w:val="0"/>
          <w:sz w:val="22"/>
        </w:rPr>
        <w:t>Three model families were chosen to cover a range of complexity, interpretability, and performance trade-offs relevant to a network intrusion detection setting.</w:t>
      </w:r>
    </w:p>
    <w:p>
      <w:pPr>
        <w:pStyle w:val="ListBullet"/>
        <w:spacing w:after="60"/>
        <w:ind w:left="360"/>
      </w:pPr>
      <w:r>
        <w:rPr>
          <w:rFonts w:ascii="Arial" w:hAnsi="Arial"/>
          <w:b w:val="0"/>
          <w:i w:val="0"/>
          <w:sz w:val="21"/>
        </w:rPr>
        <w:t>Logistic Regression: linear baseline. Fast, well-calibrated probability outputs, direct audit trail via coefficient vector.</w:t>
      </w:r>
    </w:p>
    <w:p>
      <w:pPr>
        <w:pStyle w:val="ListBullet"/>
        <w:spacing w:after="60"/>
        <w:ind w:left="360"/>
      </w:pPr>
      <w:r>
        <w:rPr>
          <w:rFonts w:ascii="Arial" w:hAnsi="Arial"/>
          <w:b w:val="0"/>
          <w:i w:val="0"/>
          <w:sz w:val="21"/>
        </w:rPr>
        <w:t>Random Forest: captures non-linear feature interactions, handles mixed feature scales, supports native feature importance, parallelisable at inference time.</w:t>
      </w:r>
    </w:p>
    <w:p>
      <w:pPr>
        <w:pStyle w:val="ListBullet"/>
        <w:spacing w:after="60"/>
        <w:ind w:left="360"/>
      </w:pPr>
      <w:r>
        <w:rPr>
          <w:rFonts w:ascii="Arial" w:hAnsi="Arial"/>
          <w:b w:val="0"/>
          <w:i w:val="0"/>
          <w:sz w:val="21"/>
        </w:rPr>
        <w:t>XGBoost: gradient-boosted trees with L1/L2 regularisation and row/column subsampling. Consistently reaches higher ceiling performance on tabular data with interaction effects.</w:t>
      </w:r>
    </w:p>
    <w:p>
      <w:pPr>
        <w:spacing w:after="120"/>
      </w:pPr>
      <w:r>
        <w:rPr>
          <w:rFonts w:ascii="Arial" w:hAnsi="Arial"/>
          <w:b w:val="0"/>
          <w:i w:val="0"/>
          <w:sz w:val="22"/>
        </w:rPr>
        <w:t>SVM and neural network approaches were deprioritised. SVMs do not scale to 400K+ rows without significant approximation. Deep learning adds training cost and opacity without justification given the strong performance of gradient-boosted trees on tabular network flow data.</w:t>
      </w:r>
    </w:p>
    <w:p>
      <w:pPr>
        <w:pStyle w:val="Heading2"/>
      </w:pPr>
      <w:r>
        <w:rPr>
          <w:rFonts w:ascii="Arial" w:hAnsi="Arial"/>
          <w:color w:val="1F497D"/>
        </w:rPr>
        <w:t>Class Imbalance Handling</w:t>
      </w:r>
    </w:p>
    <w:p>
      <w:pPr>
        <w:spacing w:after="120"/>
      </w:pPr>
      <w:r>
        <w:rPr>
          <w:rFonts w:ascii="Arial" w:hAnsi="Arial"/>
          <w:b w:val="0"/>
          <w:i w:val="0"/>
          <w:sz w:val="22"/>
        </w:rPr>
        <w:t>For Logistic Regression and Random Forest, class_weight='balanced' adjusts each sample's weight inversely proportional to class frequency. For XGBoost, scale_pos_weight is set to the ratio of negative to positive samples for binary tasks; per-class sample weights computed from class frequencies were passed at fit time for multiclass. SMOTE was evaluated but deferred because applying it after splitting would require refitting scalers.</w:t>
      </w:r>
    </w:p>
    <w:p>
      <w:pPr>
        <w:pStyle w:val="Heading2"/>
      </w:pPr>
      <w:r>
        <w:rPr>
          <w:rFonts w:ascii="Arial" w:hAnsi="Arial"/>
          <w:color w:val="1F497D"/>
        </w:rPr>
        <w:t>Binary Classification Results</w:t>
      </w:r>
    </w:p>
    <w:p>
      <w:pPr>
        <w:spacing w:after="120"/>
      </w:pPr>
      <w:r>
        <w:rPr>
          <w:rFonts w:ascii="Arial" w:hAnsi="Arial"/>
          <w:b w:val="0"/>
          <w:i w:val="0"/>
          <w:sz w:val="22"/>
        </w:rPr>
        <w:t>All three models were trained on 80% of the preprocessed 40-feature matrix with stratified splitting. Hyperparameter tuning used RandomizedSearchCV with 10 candidate configurations on a 30% stratified subsample, 3-fold stratified cross-validation, and f1_weighted as the scoring objective. Best configurations are saved as JSON files in models/.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880"/>
            <w:shd w:val="clear" w:color="auto" w:fill="1F497D"/>
            <w:vAlign w:val="center"/>
          </w:tcPr>
          <w:p>
            <w:pPr>
              <w:spacing w:after="0"/>
            </w:pPr>
            <w:r>
              <w:rPr>
                <w:rFonts w:ascii="Arial" w:hAnsi="Arial"/>
                <w:b/>
                <w:i w:val="0"/>
                <w:color w:val="FFFFFF"/>
                <w:sz w:val="20"/>
              </w:rPr>
              <w:t>Model</w:t>
            </w:r>
          </w:p>
        </w:tc>
        <w:tc>
          <w:tcPr>
            <w:tcW w:type="dxa" w:w="1368"/>
            <w:shd w:val="clear" w:color="auto" w:fill="1F497D"/>
            <w:vAlign w:val="center"/>
          </w:tcPr>
          <w:p>
            <w:pPr>
              <w:spacing w:after="0"/>
            </w:pPr>
            <w:r>
              <w:rPr>
                <w:rFonts w:ascii="Arial" w:hAnsi="Arial"/>
                <w:b/>
                <w:i w:val="0"/>
                <w:color w:val="FFFFFF"/>
                <w:sz w:val="20"/>
              </w:rPr>
              <w:t>Accuracy</w:t>
            </w:r>
          </w:p>
        </w:tc>
        <w:tc>
          <w:tcPr>
            <w:tcW w:type="dxa" w:w="1368"/>
            <w:shd w:val="clear" w:color="auto" w:fill="1F497D"/>
            <w:vAlign w:val="center"/>
          </w:tcPr>
          <w:p>
            <w:pPr>
              <w:spacing w:after="0"/>
            </w:pPr>
            <w:r>
              <w:rPr>
                <w:rFonts w:ascii="Arial" w:hAnsi="Arial"/>
                <w:b/>
                <w:i w:val="0"/>
                <w:color w:val="FFFFFF"/>
                <w:sz w:val="20"/>
              </w:rPr>
              <w:t>Precision</w:t>
            </w:r>
          </w:p>
        </w:tc>
        <w:tc>
          <w:tcPr>
            <w:tcW w:type="dxa" w:w="1224"/>
            <w:shd w:val="clear" w:color="auto" w:fill="1F497D"/>
            <w:vAlign w:val="center"/>
          </w:tcPr>
          <w:p>
            <w:pPr>
              <w:spacing w:after="0"/>
            </w:pPr>
            <w:r>
              <w:rPr>
                <w:rFonts w:ascii="Arial" w:hAnsi="Arial"/>
                <w:b/>
                <w:i w:val="0"/>
                <w:color w:val="FFFFFF"/>
                <w:sz w:val="20"/>
              </w:rPr>
              <w:t>Recall</w:t>
            </w:r>
          </w:p>
        </w:tc>
        <w:tc>
          <w:tcPr>
            <w:tcW w:type="dxa" w:w="1728"/>
            <w:shd w:val="clear" w:color="auto" w:fill="1F497D"/>
            <w:vAlign w:val="center"/>
          </w:tcPr>
          <w:p>
            <w:pPr>
              <w:spacing w:after="0"/>
            </w:pPr>
            <w:r>
              <w:rPr>
                <w:rFonts w:ascii="Arial" w:hAnsi="Arial"/>
                <w:b/>
                <w:i w:val="0"/>
                <w:color w:val="FFFFFF"/>
                <w:sz w:val="20"/>
              </w:rPr>
              <w:t>F1 (weighted)</w:t>
            </w:r>
          </w:p>
        </w:tc>
        <w:tc>
          <w:tcPr>
            <w:tcW w:type="dxa" w:w="1584"/>
            <w:shd w:val="clear" w:color="auto" w:fill="1F497D"/>
            <w:vAlign w:val="center"/>
          </w:tcPr>
          <w:p>
            <w:pPr>
              <w:spacing w:after="0"/>
            </w:pPr>
            <w:r>
              <w:rPr>
                <w:rFonts w:ascii="Arial" w:hAnsi="Arial"/>
                <w:b/>
                <w:i w:val="0"/>
                <w:color w:val="FFFFFF"/>
                <w:sz w:val="20"/>
              </w:rPr>
              <w:t>F1 (macro)</w:t>
            </w:r>
          </w:p>
        </w:tc>
        <w:tc>
          <w:tcPr>
            <w:tcW w:type="dxa" w:w="1512"/>
            <w:shd w:val="clear" w:color="auto" w:fill="1F497D"/>
            <w:vAlign w:val="center"/>
          </w:tcPr>
          <w:p>
            <w:pPr>
              <w:spacing w:after="0"/>
            </w:pPr>
            <w:r>
              <w:rPr>
                <w:rFonts w:ascii="Arial" w:hAnsi="Arial"/>
                <w:b/>
                <w:i w:val="0"/>
                <w:color w:val="FFFFFF"/>
                <w:sz w:val="20"/>
              </w:rPr>
              <w:t>AUC-ROC</w:t>
            </w:r>
          </w:p>
        </w:tc>
      </w:tr>
      <w:tr>
        <w:tc>
          <w:tcPr>
            <w:tcW w:type="dxa" w:w="2880"/>
            <w:shd w:val="clear" w:color="auto" w:fill="EBF3FB"/>
          </w:tcPr>
          <w:p>
            <w:pPr>
              <w:spacing w:after="0"/>
            </w:pPr>
            <w:r>
              <w:rPr>
                <w:rFonts w:ascii="Arial" w:hAnsi="Arial"/>
                <w:b w:val="0"/>
                <w:i w:val="0"/>
                <w:sz w:val="19"/>
              </w:rPr>
              <w:t>Logistic Regression</w:t>
            </w:r>
          </w:p>
        </w:tc>
        <w:tc>
          <w:tcPr>
            <w:tcW w:type="dxa" w:w="1368"/>
            <w:shd w:val="clear" w:color="auto" w:fill="EBF3FB"/>
          </w:tcPr>
          <w:p>
            <w:pPr>
              <w:spacing w:after="0"/>
            </w:pPr>
            <w:r>
              <w:rPr>
                <w:rFonts w:ascii="Arial" w:hAnsi="Arial"/>
                <w:b w:val="0"/>
                <w:i w:val="0"/>
                <w:sz w:val="19"/>
              </w:rPr>
              <w:t>0.8559</w:t>
            </w:r>
          </w:p>
        </w:tc>
        <w:tc>
          <w:tcPr>
            <w:tcW w:type="dxa" w:w="1368"/>
            <w:shd w:val="clear" w:color="auto" w:fill="EBF3FB"/>
          </w:tcPr>
          <w:p>
            <w:pPr>
              <w:spacing w:after="0"/>
            </w:pPr>
            <w:r>
              <w:rPr>
                <w:rFonts w:ascii="Arial" w:hAnsi="Arial"/>
                <w:b w:val="0"/>
                <w:i w:val="0"/>
                <w:sz w:val="19"/>
              </w:rPr>
              <w:t>0.5658</w:t>
            </w:r>
          </w:p>
        </w:tc>
        <w:tc>
          <w:tcPr>
            <w:tcW w:type="dxa" w:w="1224"/>
            <w:shd w:val="clear" w:color="auto" w:fill="EBF3FB"/>
          </w:tcPr>
          <w:p>
            <w:pPr>
              <w:spacing w:after="0"/>
            </w:pPr>
            <w:r>
              <w:rPr>
                <w:rFonts w:ascii="Arial" w:hAnsi="Arial"/>
                <w:b w:val="0"/>
                <w:i w:val="0"/>
                <w:sz w:val="19"/>
              </w:rPr>
              <w:t>0.8491</w:t>
            </w:r>
          </w:p>
        </w:tc>
        <w:tc>
          <w:tcPr>
            <w:tcW w:type="dxa" w:w="1728"/>
            <w:shd w:val="clear" w:color="auto" w:fill="EBF3FB"/>
          </w:tcPr>
          <w:p>
            <w:pPr>
              <w:spacing w:after="0"/>
            </w:pPr>
            <w:r>
              <w:rPr>
                <w:rFonts w:ascii="Arial" w:hAnsi="Arial"/>
                <w:b w:val="0"/>
                <w:i w:val="0"/>
                <w:sz w:val="19"/>
              </w:rPr>
              <w:t>0.6791</w:t>
            </w:r>
          </w:p>
        </w:tc>
        <w:tc>
          <w:tcPr>
            <w:tcW w:type="dxa" w:w="1584"/>
            <w:shd w:val="clear" w:color="auto" w:fill="EBF3FB"/>
          </w:tcPr>
          <w:p>
            <w:pPr>
              <w:spacing w:after="0"/>
            </w:pPr>
            <w:r>
              <w:rPr>
                <w:rFonts w:ascii="Arial" w:hAnsi="Arial"/>
                <w:b w:val="0"/>
                <w:i w:val="0"/>
                <w:sz w:val="19"/>
              </w:rPr>
              <w:t>0.7931</w:t>
            </w:r>
          </w:p>
        </w:tc>
        <w:tc>
          <w:tcPr>
            <w:tcW w:type="dxa" w:w="1512"/>
            <w:shd w:val="clear" w:color="auto" w:fill="EBF3FB"/>
          </w:tcPr>
          <w:p>
            <w:pPr>
              <w:spacing w:after="0"/>
            </w:pPr>
            <w:r>
              <w:rPr>
                <w:rFonts w:ascii="Arial" w:hAnsi="Arial"/>
                <w:b w:val="0"/>
                <w:i w:val="0"/>
                <w:sz w:val="19"/>
              </w:rPr>
              <w:t>0.9271</w:t>
            </w:r>
          </w:p>
        </w:tc>
      </w:tr>
      <w:tr>
        <w:tc>
          <w:tcPr>
            <w:tcW w:type="dxa" w:w="2880"/>
            <w:shd w:val="clear" w:color="auto" w:fill="FFFFFF"/>
          </w:tcPr>
          <w:p>
            <w:pPr>
              <w:spacing w:after="0"/>
            </w:pPr>
            <w:r>
              <w:rPr>
                <w:rFonts w:ascii="Arial" w:hAnsi="Arial"/>
                <w:b w:val="0"/>
                <w:i w:val="0"/>
                <w:sz w:val="19"/>
              </w:rPr>
              <w:t>RF Baseline</w:t>
            </w:r>
          </w:p>
        </w:tc>
        <w:tc>
          <w:tcPr>
            <w:tcW w:type="dxa" w:w="1368"/>
            <w:shd w:val="clear" w:color="auto" w:fill="FFFFFF"/>
          </w:tcPr>
          <w:p>
            <w:pPr>
              <w:spacing w:after="0"/>
            </w:pPr>
            <w:r>
              <w:rPr>
                <w:rFonts w:ascii="Arial" w:hAnsi="Arial"/>
                <w:b w:val="0"/>
                <w:i w:val="0"/>
                <w:sz w:val="19"/>
              </w:rPr>
              <w:t>0.9988</w:t>
            </w:r>
          </w:p>
        </w:tc>
        <w:tc>
          <w:tcPr>
            <w:tcW w:type="dxa" w:w="1368"/>
            <w:shd w:val="clear" w:color="auto" w:fill="FFFFFF"/>
          </w:tcPr>
          <w:p>
            <w:pPr>
              <w:spacing w:after="0"/>
            </w:pPr>
            <w:r>
              <w:rPr>
                <w:rFonts w:ascii="Arial" w:hAnsi="Arial"/>
                <w:b w:val="0"/>
                <w:i w:val="0"/>
                <w:sz w:val="19"/>
              </w:rPr>
              <w:t>0.9954</w:t>
            </w:r>
          </w:p>
        </w:tc>
        <w:tc>
          <w:tcPr>
            <w:tcW w:type="dxa" w:w="1224"/>
            <w:shd w:val="clear" w:color="auto" w:fill="FFFFFF"/>
          </w:tcPr>
          <w:p>
            <w:pPr>
              <w:spacing w:after="0"/>
            </w:pPr>
            <w:r>
              <w:rPr>
                <w:rFonts w:ascii="Arial" w:hAnsi="Arial"/>
                <w:b w:val="0"/>
                <w:i w:val="0"/>
                <w:sz w:val="19"/>
              </w:rPr>
              <w:t>0.9982</w:t>
            </w:r>
          </w:p>
        </w:tc>
        <w:tc>
          <w:tcPr>
            <w:tcW w:type="dxa" w:w="1728"/>
            <w:shd w:val="clear" w:color="auto" w:fill="FFFFFF"/>
          </w:tcPr>
          <w:p>
            <w:pPr>
              <w:spacing w:after="0"/>
            </w:pPr>
            <w:r>
              <w:rPr>
                <w:rFonts w:ascii="Arial" w:hAnsi="Arial"/>
                <w:b w:val="0"/>
                <w:i w:val="0"/>
                <w:sz w:val="19"/>
              </w:rPr>
              <w:t>0.9968</w:t>
            </w:r>
          </w:p>
        </w:tc>
        <w:tc>
          <w:tcPr>
            <w:tcW w:type="dxa" w:w="1584"/>
            <w:shd w:val="clear" w:color="auto" w:fill="FFFFFF"/>
          </w:tcPr>
          <w:p>
            <w:pPr>
              <w:spacing w:after="0"/>
            </w:pPr>
            <w:r>
              <w:rPr>
                <w:rFonts w:ascii="Arial" w:hAnsi="Arial"/>
                <w:b w:val="0"/>
                <w:i w:val="0"/>
                <w:sz w:val="19"/>
              </w:rPr>
              <w:t>0.9980</w:t>
            </w:r>
          </w:p>
        </w:tc>
        <w:tc>
          <w:tcPr>
            <w:tcW w:type="dxa" w:w="1512"/>
            <w:shd w:val="clear" w:color="auto" w:fill="FFFFFF"/>
          </w:tcPr>
          <w:p>
            <w:pPr>
              <w:spacing w:after="0"/>
            </w:pPr>
            <w:r>
              <w:rPr>
                <w:rFonts w:ascii="Arial" w:hAnsi="Arial"/>
                <w:b w:val="0"/>
                <w:i w:val="0"/>
                <w:sz w:val="19"/>
              </w:rPr>
              <w:t>0.9999</w:t>
            </w:r>
          </w:p>
        </w:tc>
      </w:tr>
      <w:tr>
        <w:tc>
          <w:tcPr>
            <w:tcW w:type="dxa" w:w="2880"/>
            <w:shd w:val="clear" w:color="auto" w:fill="EBF3FB"/>
          </w:tcPr>
          <w:p>
            <w:pPr>
              <w:spacing w:after="0"/>
            </w:pPr>
            <w:r>
              <w:rPr>
                <w:rFonts w:ascii="Arial" w:hAnsi="Arial"/>
                <w:b w:val="0"/>
                <w:i w:val="0"/>
                <w:sz w:val="19"/>
              </w:rPr>
              <w:t>RF Tuned</w:t>
            </w:r>
          </w:p>
        </w:tc>
        <w:tc>
          <w:tcPr>
            <w:tcW w:type="dxa" w:w="1368"/>
            <w:shd w:val="clear" w:color="auto" w:fill="EBF3FB"/>
          </w:tcPr>
          <w:p>
            <w:pPr>
              <w:spacing w:after="0"/>
            </w:pPr>
            <w:r>
              <w:rPr>
                <w:rFonts w:ascii="Arial" w:hAnsi="Arial"/>
                <w:b w:val="0"/>
                <w:i w:val="0"/>
                <w:sz w:val="19"/>
              </w:rPr>
              <w:t>0.9989</w:t>
            </w:r>
          </w:p>
        </w:tc>
        <w:tc>
          <w:tcPr>
            <w:tcW w:type="dxa" w:w="1368"/>
            <w:shd w:val="clear" w:color="auto" w:fill="EBF3FB"/>
          </w:tcPr>
          <w:p>
            <w:pPr>
              <w:spacing w:after="0"/>
            </w:pPr>
            <w:r>
              <w:rPr>
                <w:rFonts w:ascii="Arial" w:hAnsi="Arial"/>
                <w:b w:val="0"/>
                <w:i w:val="0"/>
                <w:sz w:val="19"/>
              </w:rPr>
              <w:t>0.9957</w:t>
            </w:r>
          </w:p>
        </w:tc>
        <w:tc>
          <w:tcPr>
            <w:tcW w:type="dxa" w:w="1224"/>
            <w:shd w:val="clear" w:color="auto" w:fill="EBF3FB"/>
          </w:tcPr>
          <w:p>
            <w:pPr>
              <w:spacing w:after="0"/>
            </w:pPr>
            <w:r>
              <w:rPr>
                <w:rFonts w:ascii="Arial" w:hAnsi="Arial"/>
                <w:b w:val="0"/>
                <w:i w:val="0"/>
                <w:sz w:val="19"/>
              </w:rPr>
              <w:t>0.9983</w:t>
            </w:r>
          </w:p>
        </w:tc>
        <w:tc>
          <w:tcPr>
            <w:tcW w:type="dxa" w:w="1728"/>
            <w:shd w:val="clear" w:color="auto" w:fill="EBF3FB"/>
          </w:tcPr>
          <w:p>
            <w:pPr>
              <w:spacing w:after="0"/>
            </w:pPr>
            <w:r>
              <w:rPr>
                <w:rFonts w:ascii="Arial" w:hAnsi="Arial"/>
                <w:b w:val="0"/>
                <w:i w:val="0"/>
                <w:sz w:val="19"/>
              </w:rPr>
              <w:t>0.9970</w:t>
            </w:r>
          </w:p>
        </w:tc>
        <w:tc>
          <w:tcPr>
            <w:tcW w:type="dxa" w:w="1584"/>
            <w:shd w:val="clear" w:color="auto" w:fill="EBF3FB"/>
          </w:tcPr>
          <w:p>
            <w:pPr>
              <w:spacing w:after="0"/>
            </w:pPr>
            <w:r>
              <w:rPr>
                <w:rFonts w:ascii="Arial" w:hAnsi="Arial"/>
                <w:b w:val="0"/>
                <w:i w:val="0"/>
                <w:sz w:val="19"/>
              </w:rPr>
              <w:t>0.9982</w:t>
            </w:r>
          </w:p>
        </w:tc>
        <w:tc>
          <w:tcPr>
            <w:tcW w:type="dxa" w:w="1512"/>
            <w:shd w:val="clear" w:color="auto" w:fill="EBF3FB"/>
          </w:tcPr>
          <w:p>
            <w:pPr>
              <w:spacing w:after="0"/>
            </w:pPr>
            <w:r>
              <w:rPr>
                <w:rFonts w:ascii="Arial" w:hAnsi="Arial"/>
                <w:b w:val="0"/>
                <w:i w:val="0"/>
                <w:sz w:val="19"/>
              </w:rPr>
              <w:t>0.9999</w:t>
            </w:r>
          </w:p>
        </w:tc>
      </w:tr>
      <w:tr>
        <w:tc>
          <w:tcPr>
            <w:tcW w:type="dxa" w:w="2880"/>
            <w:shd w:val="clear" w:color="auto" w:fill="FFFFFF"/>
          </w:tcPr>
          <w:p>
            <w:pPr>
              <w:spacing w:after="0"/>
            </w:pPr>
            <w:r>
              <w:rPr>
                <w:rFonts w:ascii="Arial" w:hAnsi="Arial"/>
                <w:b w:val="0"/>
                <w:i w:val="0"/>
                <w:sz w:val="19"/>
              </w:rPr>
              <w:t>XGBoost Baseline</w:t>
            </w:r>
          </w:p>
        </w:tc>
        <w:tc>
          <w:tcPr>
            <w:tcW w:type="dxa" w:w="1368"/>
            <w:shd w:val="clear" w:color="auto" w:fill="FFFFFF"/>
          </w:tcPr>
          <w:p>
            <w:pPr>
              <w:spacing w:after="0"/>
            </w:pPr>
            <w:r>
              <w:rPr>
                <w:rFonts w:ascii="Arial" w:hAnsi="Arial"/>
                <w:b w:val="0"/>
                <w:i w:val="0"/>
                <w:sz w:val="19"/>
              </w:rPr>
              <w:t>0.9990</w:t>
            </w:r>
          </w:p>
        </w:tc>
        <w:tc>
          <w:tcPr>
            <w:tcW w:type="dxa" w:w="1368"/>
            <w:shd w:val="clear" w:color="auto" w:fill="FFFFFF"/>
          </w:tcPr>
          <w:p>
            <w:pPr>
              <w:spacing w:after="0"/>
            </w:pPr>
            <w:r>
              <w:rPr>
                <w:rFonts w:ascii="Arial" w:hAnsi="Arial"/>
                <w:b w:val="0"/>
                <w:i w:val="0"/>
                <w:sz w:val="19"/>
              </w:rPr>
              <w:t>0.9948</w:t>
            </w:r>
          </w:p>
        </w:tc>
        <w:tc>
          <w:tcPr>
            <w:tcW w:type="dxa" w:w="1224"/>
            <w:shd w:val="clear" w:color="auto" w:fill="FFFFFF"/>
          </w:tcPr>
          <w:p>
            <w:pPr>
              <w:spacing w:after="0"/>
            </w:pPr>
            <w:r>
              <w:rPr>
                <w:rFonts w:ascii="Arial" w:hAnsi="Arial"/>
                <w:b w:val="0"/>
                <w:i w:val="0"/>
                <w:sz w:val="19"/>
              </w:rPr>
              <w:t>0.9995</w:t>
            </w:r>
          </w:p>
        </w:tc>
        <w:tc>
          <w:tcPr>
            <w:tcW w:type="dxa" w:w="1728"/>
            <w:shd w:val="clear" w:color="auto" w:fill="FFFFFF"/>
          </w:tcPr>
          <w:p>
            <w:pPr>
              <w:spacing w:after="0"/>
            </w:pPr>
            <w:r>
              <w:rPr>
                <w:rFonts w:ascii="Arial" w:hAnsi="Arial"/>
                <w:b w:val="0"/>
                <w:i w:val="0"/>
                <w:sz w:val="19"/>
              </w:rPr>
              <w:t>0.9972</w:t>
            </w:r>
          </w:p>
        </w:tc>
        <w:tc>
          <w:tcPr>
            <w:tcW w:type="dxa" w:w="1584"/>
            <w:shd w:val="clear" w:color="auto" w:fill="FFFFFF"/>
          </w:tcPr>
          <w:p>
            <w:pPr>
              <w:spacing w:after="0"/>
            </w:pPr>
            <w:r>
              <w:rPr>
                <w:rFonts w:ascii="Arial" w:hAnsi="Arial"/>
                <w:b w:val="0"/>
                <w:i w:val="0"/>
                <w:sz w:val="19"/>
              </w:rPr>
              <w:t>0.9983</w:t>
            </w:r>
          </w:p>
        </w:tc>
        <w:tc>
          <w:tcPr>
            <w:tcW w:type="dxa" w:w="1512"/>
            <w:shd w:val="clear" w:color="auto" w:fill="FFFFFF"/>
          </w:tcPr>
          <w:p>
            <w:pPr>
              <w:spacing w:after="0"/>
            </w:pPr>
            <w:r>
              <w:rPr>
                <w:rFonts w:ascii="Arial" w:hAnsi="Arial"/>
                <w:b w:val="0"/>
                <w:i w:val="0"/>
                <w:sz w:val="19"/>
              </w:rPr>
              <w:t>1.0000</w:t>
            </w:r>
          </w:p>
        </w:tc>
      </w:tr>
      <w:tr>
        <w:tc>
          <w:tcPr>
            <w:tcW w:type="dxa" w:w="2880"/>
            <w:shd w:val="clear" w:color="auto" w:fill="EBF3FB"/>
          </w:tcPr>
          <w:p>
            <w:pPr>
              <w:spacing w:after="0"/>
            </w:pPr>
            <w:r>
              <w:rPr>
                <w:rFonts w:ascii="Arial" w:hAnsi="Arial"/>
                <w:b w:val="0"/>
                <w:i w:val="0"/>
                <w:sz w:val="19"/>
              </w:rPr>
              <w:t>XGBoost Tuned</w:t>
            </w:r>
          </w:p>
        </w:tc>
        <w:tc>
          <w:tcPr>
            <w:tcW w:type="dxa" w:w="1368"/>
            <w:shd w:val="clear" w:color="auto" w:fill="EBF3FB"/>
          </w:tcPr>
          <w:p>
            <w:pPr>
              <w:spacing w:after="0"/>
            </w:pPr>
            <w:r>
              <w:rPr>
                <w:rFonts w:ascii="Arial" w:hAnsi="Arial"/>
                <w:b w:val="0"/>
                <w:i w:val="0"/>
                <w:sz w:val="19"/>
              </w:rPr>
              <w:t>0.9990</w:t>
            </w:r>
          </w:p>
        </w:tc>
        <w:tc>
          <w:tcPr>
            <w:tcW w:type="dxa" w:w="1368"/>
            <w:shd w:val="clear" w:color="auto" w:fill="EBF3FB"/>
          </w:tcPr>
          <w:p>
            <w:pPr>
              <w:spacing w:after="0"/>
            </w:pPr>
            <w:r>
              <w:rPr>
                <w:rFonts w:ascii="Arial" w:hAnsi="Arial"/>
                <w:b w:val="0"/>
                <w:i w:val="0"/>
                <w:sz w:val="19"/>
              </w:rPr>
              <w:t>0.9951</w:t>
            </w:r>
          </w:p>
        </w:tc>
        <w:tc>
          <w:tcPr>
            <w:tcW w:type="dxa" w:w="1224"/>
            <w:shd w:val="clear" w:color="auto" w:fill="EBF3FB"/>
          </w:tcPr>
          <w:p>
            <w:pPr>
              <w:spacing w:after="0"/>
            </w:pPr>
            <w:r>
              <w:rPr>
                <w:rFonts w:ascii="Arial" w:hAnsi="Arial"/>
                <w:b w:val="0"/>
                <w:i w:val="0"/>
                <w:sz w:val="19"/>
              </w:rPr>
              <w:t>0.9994</w:t>
            </w:r>
          </w:p>
        </w:tc>
        <w:tc>
          <w:tcPr>
            <w:tcW w:type="dxa" w:w="1728"/>
            <w:shd w:val="clear" w:color="auto" w:fill="EBF3FB"/>
          </w:tcPr>
          <w:p>
            <w:pPr>
              <w:spacing w:after="0"/>
            </w:pPr>
            <w:r>
              <w:rPr>
                <w:rFonts w:ascii="Arial" w:hAnsi="Arial"/>
                <w:b w:val="0"/>
                <w:i w:val="0"/>
                <w:sz w:val="19"/>
              </w:rPr>
              <w:t>0.9972</w:t>
            </w:r>
          </w:p>
        </w:tc>
        <w:tc>
          <w:tcPr>
            <w:tcW w:type="dxa" w:w="1584"/>
            <w:shd w:val="clear" w:color="auto" w:fill="EBF3FB"/>
          </w:tcPr>
          <w:p>
            <w:pPr>
              <w:spacing w:after="0"/>
            </w:pPr>
            <w:r>
              <w:rPr>
                <w:rFonts w:ascii="Arial" w:hAnsi="Arial"/>
                <w:b w:val="0"/>
                <w:i w:val="0"/>
                <w:sz w:val="19"/>
              </w:rPr>
              <w:t>0.9983</w:t>
            </w:r>
          </w:p>
        </w:tc>
        <w:tc>
          <w:tcPr>
            <w:tcW w:type="dxa" w:w="1512"/>
            <w:shd w:val="clear" w:color="auto" w:fill="EBF3FB"/>
          </w:tcPr>
          <w:p>
            <w:pPr>
              <w:spacing w:after="0"/>
            </w:pPr>
            <w:r>
              <w:rPr>
                <w:rFonts w:ascii="Arial" w:hAnsi="Arial"/>
                <w:b w:val="0"/>
                <w:i w:val="0"/>
                <w:sz w:val="19"/>
              </w:rPr>
              <w:t>1.0000</w:t>
            </w:r>
          </w:p>
        </w:tc>
      </w:tr>
    </w:tbl>
    <w:p/>
    <w:p>
      <w:pPr>
        <w:spacing w:after="120"/>
      </w:pPr>
      <w:r>
        <w:rPr>
          <w:rFonts w:ascii="Arial" w:hAnsi="Arial"/>
          <w:b w:val="0"/>
          <w:i w:val="0"/>
          <w:sz w:val="22"/>
        </w:rPr>
        <w:t>XGBoost edges out Random Forest on recall (0.9994 vs 0.9983) and matches it on macro F1, confirming it as the stronger model for minimising missed attacks — the primary operational concern.</w:t>
      </w:r>
    </w:p>
    <w:p>
      <w:pPr>
        <w:pStyle w:val="Heading2"/>
      </w:pPr>
      <w:r>
        <w:rPr>
          <w:rFonts w:ascii="Arial" w:hAnsi="Arial"/>
          <w:color w:val="1F497D"/>
        </w:rPr>
        <w:t>Multiclass Classification Results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024"/>
            <w:shd w:val="clear" w:color="auto" w:fill="1F497D"/>
            <w:vAlign w:val="center"/>
          </w:tcPr>
          <w:p>
            <w:pPr>
              <w:spacing w:after="0"/>
            </w:pPr>
            <w:r>
              <w:rPr>
                <w:rFonts w:ascii="Arial" w:hAnsi="Arial"/>
                <w:b/>
                <w:i w:val="0"/>
                <w:color w:val="FFFFFF"/>
                <w:sz w:val="20"/>
              </w:rPr>
              <w:t>Model</w:t>
            </w:r>
          </w:p>
        </w:tc>
        <w:tc>
          <w:tcPr>
            <w:tcW w:type="dxa" w:w="1440"/>
            <w:shd w:val="clear" w:color="auto" w:fill="1F497D"/>
            <w:vAlign w:val="center"/>
          </w:tcPr>
          <w:p>
            <w:pPr>
              <w:spacing w:after="0"/>
            </w:pPr>
            <w:r>
              <w:rPr>
                <w:rFonts w:ascii="Arial" w:hAnsi="Arial"/>
                <w:b/>
                <w:i w:val="0"/>
                <w:color w:val="FFFFFF"/>
                <w:sz w:val="20"/>
              </w:rPr>
              <w:t>Accuracy</w:t>
            </w:r>
          </w:p>
        </w:tc>
        <w:tc>
          <w:tcPr>
            <w:tcW w:type="dxa" w:w="1440"/>
            <w:shd w:val="clear" w:color="auto" w:fill="1F497D"/>
            <w:vAlign w:val="center"/>
          </w:tcPr>
          <w:p>
            <w:pPr>
              <w:spacing w:after="0"/>
            </w:pPr>
            <w:r>
              <w:rPr>
                <w:rFonts w:ascii="Arial" w:hAnsi="Arial"/>
                <w:b/>
                <w:i w:val="0"/>
                <w:color w:val="FFFFFF"/>
                <w:sz w:val="20"/>
              </w:rPr>
              <w:t>Precision</w:t>
            </w:r>
          </w:p>
        </w:tc>
        <w:tc>
          <w:tcPr>
            <w:tcW w:type="dxa" w:w="1368"/>
            <w:shd w:val="clear" w:color="auto" w:fill="1F497D"/>
            <w:vAlign w:val="center"/>
          </w:tcPr>
          <w:p>
            <w:pPr>
              <w:spacing w:after="0"/>
            </w:pPr>
            <w:r>
              <w:rPr>
                <w:rFonts w:ascii="Arial" w:hAnsi="Arial"/>
                <w:b/>
                <w:i w:val="0"/>
                <w:color w:val="FFFFFF"/>
                <w:sz w:val="20"/>
              </w:rPr>
              <w:t>Recall</w:t>
            </w:r>
          </w:p>
        </w:tc>
        <w:tc>
          <w:tcPr>
            <w:tcW w:type="dxa" w:w="1800"/>
            <w:shd w:val="clear" w:color="auto" w:fill="1F497D"/>
            <w:vAlign w:val="center"/>
          </w:tcPr>
          <w:p>
            <w:pPr>
              <w:spacing w:after="0"/>
            </w:pPr>
            <w:r>
              <w:rPr>
                <w:rFonts w:ascii="Arial" w:hAnsi="Arial"/>
                <w:b/>
                <w:i w:val="0"/>
                <w:color w:val="FFFFFF"/>
                <w:sz w:val="20"/>
              </w:rPr>
              <w:t>F1 (weighted)</w:t>
            </w:r>
          </w:p>
        </w:tc>
        <w:tc>
          <w:tcPr>
            <w:tcW w:type="dxa" w:w="1584"/>
            <w:shd w:val="clear" w:color="auto" w:fill="1F497D"/>
            <w:vAlign w:val="center"/>
          </w:tcPr>
          <w:p>
            <w:pPr>
              <w:spacing w:after="0"/>
            </w:pPr>
            <w:r>
              <w:rPr>
                <w:rFonts w:ascii="Arial" w:hAnsi="Arial"/>
                <w:b/>
                <w:i w:val="0"/>
                <w:color w:val="FFFFFF"/>
                <w:sz w:val="20"/>
              </w:rPr>
              <w:t>F1 (macro)</w:t>
            </w:r>
          </w:p>
        </w:tc>
      </w:tr>
      <w:tr>
        <w:tc>
          <w:tcPr>
            <w:tcW w:type="dxa" w:w="3024"/>
            <w:shd w:val="clear" w:color="auto" w:fill="EBF3FB"/>
          </w:tcPr>
          <w:p>
            <w:pPr>
              <w:spacing w:after="0"/>
            </w:pPr>
            <w:r>
              <w:rPr>
                <w:rFonts w:ascii="Arial" w:hAnsi="Arial"/>
                <w:b w:val="0"/>
                <w:i w:val="0"/>
                <w:sz w:val="19"/>
              </w:rPr>
              <w:t>Logistic Regression</w:t>
            </w:r>
          </w:p>
        </w:tc>
        <w:tc>
          <w:tcPr>
            <w:tcW w:type="dxa" w:w="1440"/>
            <w:shd w:val="clear" w:color="auto" w:fill="EBF3FB"/>
          </w:tcPr>
          <w:p>
            <w:pPr>
              <w:spacing w:after="0"/>
            </w:pPr>
            <w:r>
              <w:rPr>
                <w:rFonts w:ascii="Arial" w:hAnsi="Arial"/>
                <w:b w:val="0"/>
                <w:i w:val="0"/>
                <w:sz w:val="19"/>
              </w:rPr>
              <w:t>0.2700</w:t>
            </w:r>
          </w:p>
        </w:tc>
        <w:tc>
          <w:tcPr>
            <w:tcW w:type="dxa" w:w="1440"/>
            <w:shd w:val="clear" w:color="auto" w:fill="EBF3FB"/>
          </w:tcPr>
          <w:p>
            <w:pPr>
              <w:spacing w:after="0"/>
            </w:pPr>
            <w:r>
              <w:rPr>
                <w:rFonts w:ascii="Arial" w:hAnsi="Arial"/>
                <w:b w:val="0"/>
                <w:i w:val="0"/>
                <w:sz w:val="19"/>
              </w:rPr>
              <w:t>0.8334</w:t>
            </w:r>
          </w:p>
        </w:tc>
        <w:tc>
          <w:tcPr>
            <w:tcW w:type="dxa" w:w="1368"/>
            <w:shd w:val="clear" w:color="auto" w:fill="EBF3FB"/>
          </w:tcPr>
          <w:p>
            <w:pPr>
              <w:spacing w:after="0"/>
            </w:pPr>
            <w:r>
              <w:rPr>
                <w:rFonts w:ascii="Arial" w:hAnsi="Arial"/>
                <w:b w:val="0"/>
                <w:i w:val="0"/>
                <w:sz w:val="19"/>
              </w:rPr>
              <w:t>0.2700</w:t>
            </w:r>
          </w:p>
        </w:tc>
        <w:tc>
          <w:tcPr>
            <w:tcW w:type="dxa" w:w="1800"/>
            <w:shd w:val="clear" w:color="auto" w:fill="EBF3FB"/>
          </w:tcPr>
          <w:p>
            <w:pPr>
              <w:spacing w:after="0"/>
            </w:pPr>
            <w:r>
              <w:rPr>
                <w:rFonts w:ascii="Arial" w:hAnsi="Arial"/>
                <w:b w:val="0"/>
                <w:i w:val="0"/>
                <w:sz w:val="19"/>
              </w:rPr>
              <w:t>0.3550</w:t>
            </w:r>
          </w:p>
        </w:tc>
        <w:tc>
          <w:tcPr>
            <w:tcW w:type="dxa" w:w="1584"/>
            <w:shd w:val="clear" w:color="auto" w:fill="EBF3FB"/>
          </w:tcPr>
          <w:p>
            <w:pPr>
              <w:spacing w:after="0"/>
            </w:pPr>
            <w:r>
              <w:rPr>
                <w:rFonts w:ascii="Arial" w:hAnsi="Arial"/>
                <w:b w:val="0"/>
                <w:i w:val="0"/>
                <w:sz w:val="19"/>
              </w:rPr>
              <w:t>0.1435</w:t>
            </w:r>
          </w:p>
        </w:tc>
      </w:tr>
      <w:tr>
        <w:tc>
          <w:tcPr>
            <w:tcW w:type="dxa" w:w="3024"/>
            <w:shd w:val="clear" w:color="auto" w:fill="FFFFFF"/>
          </w:tcPr>
          <w:p>
            <w:pPr>
              <w:spacing w:after="0"/>
            </w:pPr>
            <w:r>
              <w:rPr>
                <w:rFonts w:ascii="Arial" w:hAnsi="Arial"/>
                <w:b w:val="0"/>
                <w:i w:val="0"/>
                <w:sz w:val="19"/>
              </w:rPr>
              <w:t>RF Tuned</w:t>
            </w:r>
          </w:p>
        </w:tc>
        <w:tc>
          <w:tcPr>
            <w:tcW w:type="dxa" w:w="1440"/>
            <w:shd w:val="clear" w:color="auto" w:fill="FFFFFF"/>
          </w:tcPr>
          <w:p>
            <w:pPr>
              <w:spacing w:after="0"/>
            </w:pPr>
            <w:r>
              <w:rPr>
                <w:rFonts w:ascii="Arial" w:hAnsi="Arial"/>
                <w:b w:val="0"/>
                <w:i w:val="0"/>
                <w:sz w:val="19"/>
              </w:rPr>
              <w:t>0.9979</w:t>
            </w:r>
          </w:p>
        </w:tc>
        <w:tc>
          <w:tcPr>
            <w:tcW w:type="dxa" w:w="1440"/>
            <w:shd w:val="clear" w:color="auto" w:fill="FFFFFF"/>
          </w:tcPr>
          <w:p>
            <w:pPr>
              <w:spacing w:after="0"/>
            </w:pPr>
            <w:r>
              <w:rPr>
                <w:rFonts w:ascii="Arial" w:hAnsi="Arial"/>
                <w:b w:val="0"/>
                <w:i w:val="0"/>
                <w:sz w:val="19"/>
              </w:rPr>
              <w:t>0.9985</w:t>
            </w:r>
          </w:p>
        </w:tc>
        <w:tc>
          <w:tcPr>
            <w:tcW w:type="dxa" w:w="1368"/>
            <w:shd w:val="clear" w:color="auto" w:fill="FFFFFF"/>
          </w:tcPr>
          <w:p>
            <w:pPr>
              <w:spacing w:after="0"/>
            </w:pPr>
            <w:r>
              <w:rPr>
                <w:rFonts w:ascii="Arial" w:hAnsi="Arial"/>
                <w:b w:val="0"/>
                <w:i w:val="0"/>
                <w:sz w:val="19"/>
              </w:rPr>
              <w:t>0.9979</w:t>
            </w:r>
          </w:p>
        </w:tc>
        <w:tc>
          <w:tcPr>
            <w:tcW w:type="dxa" w:w="1800"/>
            <w:shd w:val="clear" w:color="auto" w:fill="FFFFFF"/>
          </w:tcPr>
          <w:p>
            <w:pPr>
              <w:spacing w:after="0"/>
            </w:pPr>
            <w:r>
              <w:rPr>
                <w:rFonts w:ascii="Arial" w:hAnsi="Arial"/>
                <w:b w:val="0"/>
                <w:i w:val="0"/>
                <w:sz w:val="19"/>
              </w:rPr>
              <w:t>0.9981</w:t>
            </w:r>
          </w:p>
        </w:tc>
        <w:tc>
          <w:tcPr>
            <w:tcW w:type="dxa" w:w="1584"/>
            <w:shd w:val="clear" w:color="auto" w:fill="FFFFFF"/>
          </w:tcPr>
          <w:p>
            <w:pPr>
              <w:spacing w:after="0"/>
            </w:pPr>
            <w:r>
              <w:rPr>
                <w:rFonts w:ascii="Arial" w:hAnsi="Arial"/>
                <w:b w:val="0"/>
                <w:i w:val="0"/>
                <w:sz w:val="19"/>
              </w:rPr>
              <w:t>0.9332</w:t>
            </w:r>
          </w:p>
        </w:tc>
      </w:tr>
      <w:tr>
        <w:tc>
          <w:tcPr>
            <w:tcW w:type="dxa" w:w="3024"/>
            <w:shd w:val="clear" w:color="auto" w:fill="EBF3FB"/>
          </w:tcPr>
          <w:p>
            <w:pPr>
              <w:spacing w:after="0"/>
            </w:pPr>
            <w:r>
              <w:rPr>
                <w:rFonts w:ascii="Arial" w:hAnsi="Arial"/>
                <w:b w:val="0"/>
                <w:i w:val="0"/>
                <w:sz w:val="19"/>
              </w:rPr>
              <w:t>XGBoost Tuned</w:t>
            </w:r>
          </w:p>
        </w:tc>
        <w:tc>
          <w:tcPr>
            <w:tcW w:type="dxa" w:w="1440"/>
            <w:shd w:val="clear" w:color="auto" w:fill="EBF3FB"/>
          </w:tcPr>
          <w:p>
            <w:pPr>
              <w:spacing w:after="0"/>
            </w:pPr>
            <w:r>
              <w:rPr>
                <w:rFonts w:ascii="Arial" w:hAnsi="Arial"/>
                <w:b w:val="0"/>
                <w:i w:val="0"/>
                <w:sz w:val="19"/>
              </w:rPr>
              <w:t>0.9991</w:t>
            </w:r>
          </w:p>
        </w:tc>
        <w:tc>
          <w:tcPr>
            <w:tcW w:type="dxa" w:w="1440"/>
            <w:shd w:val="clear" w:color="auto" w:fill="EBF3FB"/>
          </w:tcPr>
          <w:p>
            <w:pPr>
              <w:spacing w:after="0"/>
            </w:pPr>
            <w:r>
              <w:rPr>
                <w:rFonts w:ascii="Arial" w:hAnsi="Arial"/>
                <w:b w:val="0"/>
                <w:i w:val="0"/>
                <w:sz w:val="19"/>
              </w:rPr>
              <w:t>0.9991</w:t>
            </w:r>
          </w:p>
        </w:tc>
        <w:tc>
          <w:tcPr>
            <w:tcW w:type="dxa" w:w="1368"/>
            <w:shd w:val="clear" w:color="auto" w:fill="EBF3FB"/>
          </w:tcPr>
          <w:p>
            <w:pPr>
              <w:spacing w:after="0"/>
            </w:pPr>
            <w:r>
              <w:rPr>
                <w:rFonts w:ascii="Arial" w:hAnsi="Arial"/>
                <w:b w:val="0"/>
                <w:i w:val="0"/>
                <w:sz w:val="19"/>
              </w:rPr>
              <w:t>0.9991</w:t>
            </w:r>
          </w:p>
        </w:tc>
        <w:tc>
          <w:tcPr>
            <w:tcW w:type="dxa" w:w="1800"/>
            <w:shd w:val="clear" w:color="auto" w:fill="EBF3FB"/>
          </w:tcPr>
          <w:p>
            <w:pPr>
              <w:spacing w:after="0"/>
            </w:pPr>
            <w:r>
              <w:rPr>
                <w:rFonts w:ascii="Arial" w:hAnsi="Arial"/>
                <w:b w:val="0"/>
                <w:i w:val="0"/>
                <w:sz w:val="19"/>
              </w:rPr>
              <w:t>0.9991</w:t>
            </w:r>
          </w:p>
        </w:tc>
        <w:tc>
          <w:tcPr>
            <w:tcW w:type="dxa" w:w="1584"/>
            <w:shd w:val="clear" w:color="auto" w:fill="EBF3FB"/>
          </w:tcPr>
          <w:p>
            <w:pPr>
              <w:spacing w:after="0"/>
            </w:pPr>
            <w:r>
              <w:rPr>
                <w:rFonts w:ascii="Arial" w:hAnsi="Arial"/>
                <w:b w:val="0"/>
                <w:i w:val="0"/>
                <w:sz w:val="19"/>
              </w:rPr>
              <w:t>0.9667</w:t>
            </w:r>
          </w:p>
        </w:tc>
      </w:tr>
    </w:tbl>
    <w:p/>
    <w:p>
      <w:pPr>
        <w:spacing w:after="120"/>
      </w:pPr>
      <w:r>
        <w:rPr>
          <w:rFonts w:ascii="Arial" w:hAnsi="Arial"/>
          <w:b w:val="0"/>
          <w:i w:val="0"/>
          <w:sz w:val="22"/>
        </w:rPr>
        <w:t>XGBoost Tuned achieves the best results across all metrics: accuracy 0.9991, F1 (weighted) 0.9991, and macro F1 0.9667. The gap between weighted F1 and macro F1 reflects lower performance on minority classes (Botnet and Infiltration) where class imbalance limits recall despite class weighting.</w:t>
      </w:r>
    </w:p>
    <w:p>
      <w:pPr>
        <w:pStyle w:val="Heading2"/>
      </w:pPr>
      <w:r>
        <w:rPr>
          <w:rFonts w:ascii="Arial" w:hAnsi="Arial"/>
          <w:color w:val="1F497D"/>
        </w:rPr>
        <w:t>Cross-Validation Stability</w:t>
      </w:r>
    </w:p>
    <w:p>
      <w:pPr>
        <w:spacing w:after="120"/>
      </w:pPr>
      <w:r>
        <w:rPr>
          <w:rFonts w:ascii="Arial" w:hAnsi="Arial"/>
          <w:b w:val="0"/>
          <w:i w:val="0"/>
          <w:sz w:val="22"/>
        </w:rPr>
        <w:t>5-fold stratified cross-validation was run on the training set for the two best-performing binary models. RF Tuned achieved mean weighted F1 of 0.9987 +/- 0.0001 across folds. XGBoost Tuned achieved 0.9990 +/- 0.0001. The near-zero standard deviation confirms test-set performance is not an artifact of a favorable random split.</w:t>
      </w:r>
    </w:p>
    <w:p>
      <w:pPr>
        <w:pStyle w:val="Heading2"/>
      </w:pPr>
      <w:r>
        <w:rPr>
          <w:rFonts w:ascii="Arial" w:hAnsi="Arial"/>
          <w:color w:val="1F497D"/>
        </w:rPr>
        <w:t>Model Selection</w:t>
      </w:r>
    </w:p>
    <w:p>
      <w:pPr>
        <w:spacing w:after="120"/>
      </w:pPr>
      <w:r>
        <w:rPr>
          <w:rFonts w:ascii="Arial" w:hAnsi="Arial"/>
          <w:b w:val="0"/>
          <w:i w:val="0"/>
          <w:sz w:val="22"/>
        </w:rPr>
        <w:t>XGBoost Tuned is the primary recommended model for both binary and multiclass tasks. On binary detection it achieves AUC-ROC of 1.0000, recall of 0.9994, and macro F1 of 0.9983, meeting all target thresholds set in the problem framing section (Recall &gt;= 0.95, AUC-ROC &gt;= 0.98, FPR &lt;= 0.05). RF Tuned is the recommended fallback and ensemble candidate, with near-identical binary performance (AUC-ROC 0.9999, macro F1 0.9982) and simpler operational deployment. Both models are saved to models/ with configurations in JSON.</w:t>
      </w:r>
    </w:p>
    <w:p>
      <w:r>
        <w:br w:type="page"/>
      </w:r>
    </w:p>
    <w:p>
      <w:pPr>
        <w:pStyle w:val="Heading1"/>
      </w:pPr>
      <w:r>
        <w:rPr>
          <w:rFonts w:ascii="Arial" w:hAnsi="Arial"/>
          <w:color w:val="1F497D"/>
        </w:rPr>
        <w:t>Critical Thinking, Ethical AI &amp; Bias Auditing</w:t>
      </w:r>
    </w:p>
    <w:p>
      <w:pPr>
        <w:pBdr>
          <w:bottom w:val="single" w:sz="4" w:space="1" w:color="AAAAAA"/>
        </w:pBdr>
        <w:spacing w:after="200"/>
      </w:pPr>
    </w:p>
    <w:p>
      <w:pPr>
        <w:pStyle w:val="Heading2"/>
      </w:pPr>
      <w:r>
        <w:rPr>
          <w:rFonts w:ascii="Arial" w:hAnsi="Arial"/>
          <w:color w:val="1F497D"/>
        </w:rPr>
        <w:t>Explainability</w:t>
      </w:r>
    </w:p>
    <w:p>
      <w:pPr>
        <w:spacing w:after="120"/>
      </w:pPr>
      <w:r>
        <w:rPr>
          <w:rFonts w:ascii="Arial" w:hAnsi="Arial"/>
          <w:b w:val="0"/>
          <w:i w:val="0"/>
          <w:sz w:val="22"/>
        </w:rPr>
        <w:t>TreeSHAP was applied to the tuned XGBoost binary classifier using a balanced 2,000-sample test subset (1,000 benign, 1,000 attack). TreeSHAP computes exact Shapley values for tree ensembles, satisfying efficiency, symmetry, and dummy axioms. It is preferred over permutation-based methods because it is exact, accounts for feature interactions, and scales to the full test set without approximation.</w:t>
      </w:r>
    </w:p>
    <w:p>
      <w:pPr>
        <w:spacing w:after="120"/>
      </w:pPr>
      <w:r>
        <w:rPr>
          <w:rFonts w:ascii="Arial" w:hAnsi="Arial"/>
          <w:b w:val="0"/>
          <w:i w:val="0"/>
          <w:sz w:val="22"/>
        </w:rPr>
        <w:t>The global beeswarm plot confirms that the top drivers of attack predictions are byte-rate and packet-rate features, followed by forward packet count, SYN flag count, and the engineered byte_asymmetry feature. High feature values push predictions toward the attack class for all top features. High Flow Duration pushes predictions toward benign, consistent with attack flows (DoS, DDoS, SYN flood) producing near-zero duration flows.</w:t>
      </w:r>
    </w:p>
    <w:p>
      <w:pPr>
        <w:spacing w:after="120"/>
      </w:pPr>
      <w:r>
        <w:rPr>
          <w:rFonts w:ascii="Arial" w:hAnsi="Arial"/>
          <w:b w:val="0"/>
          <w:i w:val="0"/>
          <w:sz w:val="22"/>
        </w:rPr>
        <w:t>Waterfall plots decompose individual predictions into additive feature contributions. For correctly classified attacks, dominant positive contributors are the two rate features. For correctly classified benign flows, the same features show negative contributions.</w:t>
      </w:r>
    </w:p>
    <w:p>
      <w:pPr>
        <w:spacing w:after="120"/>
      </w:pPr>
      <w:r>
        <w:rPr>
          <w:rFonts w:ascii="Arial" w:hAnsi="Arial"/>
          <w:b w:val="0"/>
          <w:i w:val="0"/>
          <w:sz w:val="22"/>
        </w:rPr>
        <w:t>LIME was applied to the same instances using a tabular explainer fit on the training distribution. LIME independently confirms the top SHAP features for both instances, with 4 of the top 5 features overlapping. This convergence across two fundamentally different explainability approaches strengthens confidence that the model's decision-making is feature-driven.</w:t>
      </w:r>
    </w:p>
    <w:p>
      <w:pPr>
        <w:spacing w:after="120"/>
      </w:pPr>
      <w:r>
        <w:rPr>
          <w:rFonts w:ascii="Arial" w:hAnsi="Arial"/>
          <w:b w:val="0"/>
          <w:i w:val="0"/>
          <w:sz w:val="22"/>
        </w:rPr>
        <w:t>Partial Dependence Plots (PDP) combined with Individual Conditional Expectation (ICE) lines were generated for the top four features using the tuned Random Forest. ICE lines reveal that the average PDP trend is representative across most samples, with the exception of Flow Duration where ICE lines diverge for sub-groups of flows with very short positive durations.</w:t>
      </w:r>
    </w:p>
    <w:p>
      <w:pPr>
        <w:pStyle w:val="Heading2"/>
      </w:pPr>
      <w:r>
        <w:rPr>
          <w:rFonts w:ascii="Arial" w:hAnsi="Arial"/>
          <w:color w:val="1F497D"/>
        </w:rPr>
        <w:t>Limitations</w:t>
      </w:r>
    </w:p>
    <w:p>
      <w:pPr>
        <w:spacing w:after="120"/>
      </w:pPr>
      <w:r>
        <w:rPr>
          <w:rFonts w:ascii="Arial" w:hAnsi="Arial"/>
          <w:b/>
          <w:i w:val="0"/>
          <w:sz w:val="22"/>
        </w:rPr>
        <w:t xml:space="preserve">Overfitting: </w:t>
      </w:r>
      <w:r>
        <w:rPr>
          <w:rFonts w:ascii="Arial" w:hAnsi="Arial"/>
          <w:b w:val="0"/>
          <w:i w:val="0"/>
          <w:sz w:val="22"/>
        </w:rPr>
        <w:t>Minimal across all three binary classifiers. Train-test F1 gaps are -0.0010 (Logistic Regression), 0.0005 (RF Tuned), and 0.0003 (XGBoost Tuned). The negative gap for Logistic Regression indicates slightly better test than training performance, consistent with its simpler decision boundary.</w:t>
      </w:r>
    </w:p>
    <w:p>
      <w:pPr>
        <w:spacing w:after="120"/>
      </w:pPr>
      <w:r>
        <w:rPr>
          <w:rFonts w:ascii="Arial" w:hAnsi="Arial"/>
          <w:b/>
          <w:i w:val="0"/>
          <w:sz w:val="22"/>
        </w:rPr>
        <w:t xml:space="preserve">Class imbalance: </w:t>
      </w:r>
      <w:r>
        <w:rPr>
          <w:rFonts w:ascii="Arial" w:hAnsi="Arial"/>
          <w:b w:val="0"/>
          <w:i w:val="0"/>
          <w:sz w:val="22"/>
        </w:rPr>
        <w:t>The most significant limitation for the multiclass task. Botnet and Infiltration represent under 0.1% of the dataset. Despite class weighting, per-class recall for these categories is substantially lower than for DoS and DDoS. Mitigation requires SMOTE/ADASYN for rare classes or a two-stage architecture.</w:t>
      </w:r>
    </w:p>
    <w:p>
      <w:pPr>
        <w:spacing w:after="120"/>
      </w:pPr>
      <w:r>
        <w:rPr>
          <w:rFonts w:ascii="Arial" w:hAnsi="Arial"/>
          <w:b/>
          <w:i w:val="0"/>
          <w:sz w:val="22"/>
        </w:rPr>
        <w:t xml:space="preserve">Potential feature leakage: </w:t>
      </w:r>
      <w:r>
        <w:rPr>
          <w:rFonts w:ascii="Arial" w:hAnsi="Arial"/>
          <w:b w:val="0"/>
          <w:i w:val="0"/>
          <w:sz w:val="22"/>
        </w:rPr>
        <w:t>Several top-10 SHAP features (Flow Bytes/s, Flow Duration) are computed over the complete bidirectional flow and are only known at connection close. For real-time IDS deployment, a sub-flow model trained on first-packet features would reduce latency.</w:t>
      </w:r>
    </w:p>
    <w:p>
      <w:pPr>
        <w:spacing w:after="120"/>
      </w:pPr>
      <w:r>
        <w:rPr>
          <w:rFonts w:ascii="Arial" w:hAnsi="Arial"/>
          <w:b/>
          <w:i w:val="0"/>
          <w:sz w:val="22"/>
        </w:rPr>
        <w:t xml:space="preserve">Temporal drift: </w:t>
      </w:r>
      <w:r>
        <w:rPr>
          <w:rFonts w:ascii="Arial" w:hAnsi="Arial"/>
          <w:b w:val="0"/>
          <w:i w:val="0"/>
          <w:sz w:val="22"/>
        </w:rPr>
        <w:t>CICIDS2017 captures July 2017 traffic. Protocol distributions have shifted significantly since then (TLS 1.3, HTTP/2, QUIC, encrypted botnet C2). Monitoring feature drift via Population Stability Index on top-10 SHAP features is the recommended operational control.</w:t>
      </w:r>
    </w:p>
    <w:p>
      <w:pPr>
        <w:spacing w:after="120"/>
      </w:pPr>
      <w:r>
        <w:rPr>
          <w:rFonts w:ascii="Arial" w:hAnsi="Arial"/>
          <w:b/>
          <w:i w:val="0"/>
          <w:sz w:val="22"/>
        </w:rPr>
        <w:t xml:space="preserve">Adversarial evasion: </w:t>
      </w:r>
      <w:r>
        <w:rPr>
          <w:rFonts w:ascii="Arial" w:hAnsi="Arial"/>
          <w:b w:val="0"/>
          <w:i w:val="0"/>
          <w:sz w:val="22"/>
        </w:rPr>
        <w:t>An attacker aware of detection signatures can rate-limit flows or fragment connections to evade detection. Adversarial robustness requires adversarial training, ensembling, and out-of-distribution detection.</w:t>
      </w:r>
    </w:p>
    <w:p>
      <w:pPr>
        <w:pStyle w:val="Heading2"/>
      </w:pPr>
      <w:r>
        <w:rPr>
          <w:rFonts w:ascii="Arial" w:hAnsi="Arial"/>
          <w:color w:val="1F497D"/>
        </w:rPr>
        <w:t>Bias Audit</w:t>
      </w:r>
    </w:p>
    <w:p>
      <w:pPr>
        <w:spacing w:after="120"/>
      </w:pPr>
      <w:r>
        <w:rPr>
          <w:rFonts w:ascii="Arial" w:hAnsi="Arial"/>
          <w:b w:val="0"/>
          <w:i w:val="0"/>
          <w:sz w:val="22"/>
        </w:rPr>
        <w:t>Because CICIDS2017 contains no personal demographic attributes, the fairness audit uses operational proxy groups. Unequal False Positive Rates across traffic segments create disparate analyst workload and risk of over-blocking. Unequal False Negative Rates mean certain segments receive systematically weaker protection.</w:t>
      </w:r>
    </w:p>
    <w:p>
      <w:pPr>
        <w:spacing w:after="120"/>
      </w:pPr>
      <w:r>
        <w:rPr>
          <w:rFonts w:ascii="Arial" w:hAnsi="Arial"/>
          <w:b w:val="0"/>
          <w:i w:val="0"/>
          <w:sz w:val="22"/>
        </w:rPr>
        <w:t>Three proxy group dimensions were audited: traffic volume quartile (Q1 low to Q4 high, defined by total forward byte volume), flow duration bin (medium vs. long), and protocol group. Protocol group returned unavailable because the protocol feature was not retained in the final selected feature set after dimensionality reduction.</w:t>
      </w:r>
    </w:p>
    <w:p>
      <w:pPr>
        <w:spacing w:after="120"/>
      </w:pPr>
      <w:r>
        <w:rPr>
          <w:rFonts w:ascii="Arial" w:hAnsi="Arial"/>
          <w:b w:val="0"/>
          <w:i w:val="0"/>
          <w:sz w:val="22"/>
        </w:rPr>
        <w:t>Fairness metrics: Positive Prediction Rate (PPR, demographic parity), False Positive Rate (FPR), False Negative Rate (FNR), and Disparate Impact Ratio (DIR = minimum group PPR / maximum group PPR; values below 0.80 indicate potential disparity).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448"/>
            <w:shd w:val="clear" w:color="auto" w:fill="1F497D"/>
            <w:vAlign w:val="center"/>
          </w:tcPr>
          <w:p>
            <w:pPr>
              <w:spacing w:after="0"/>
            </w:pPr>
            <w:r>
              <w:rPr>
                <w:rFonts w:ascii="Arial" w:hAnsi="Arial"/>
                <w:b/>
                <w:i w:val="0"/>
                <w:color w:val="FFFFFF"/>
                <w:sz w:val="20"/>
              </w:rPr>
              <w:t>Group Dimension</w:t>
            </w:r>
          </w:p>
        </w:tc>
        <w:tc>
          <w:tcPr>
            <w:tcW w:type="dxa" w:w="1080"/>
            <w:shd w:val="clear" w:color="auto" w:fill="1F497D"/>
            <w:vAlign w:val="center"/>
          </w:tcPr>
          <w:p>
            <w:pPr>
              <w:spacing w:after="0"/>
            </w:pPr>
            <w:r>
              <w:rPr>
                <w:rFonts w:ascii="Arial" w:hAnsi="Arial"/>
                <w:b/>
                <w:i w:val="0"/>
                <w:color w:val="FFFFFF"/>
                <w:sz w:val="20"/>
              </w:rPr>
              <w:t>DIR</w:t>
            </w:r>
          </w:p>
        </w:tc>
        <w:tc>
          <w:tcPr>
            <w:tcW w:type="dxa" w:w="1296"/>
            <w:shd w:val="clear" w:color="auto" w:fill="1F497D"/>
            <w:vAlign w:val="center"/>
          </w:tcPr>
          <w:p>
            <w:pPr>
              <w:spacing w:after="0"/>
            </w:pPr>
            <w:r>
              <w:rPr>
                <w:rFonts w:ascii="Arial" w:hAnsi="Arial"/>
                <w:b/>
                <w:i w:val="0"/>
                <w:color w:val="FFFFFF"/>
                <w:sz w:val="20"/>
              </w:rPr>
              <w:t>FPR Range</w:t>
            </w:r>
          </w:p>
        </w:tc>
        <w:tc>
          <w:tcPr>
            <w:tcW w:type="dxa" w:w="1296"/>
            <w:shd w:val="clear" w:color="auto" w:fill="1F497D"/>
            <w:vAlign w:val="center"/>
          </w:tcPr>
          <w:p>
            <w:pPr>
              <w:spacing w:after="0"/>
            </w:pPr>
            <w:r>
              <w:rPr>
                <w:rFonts w:ascii="Arial" w:hAnsi="Arial"/>
                <w:b/>
                <w:i w:val="0"/>
                <w:color w:val="FFFFFF"/>
                <w:sz w:val="20"/>
              </w:rPr>
              <w:t>FNR Range</w:t>
            </w:r>
          </w:p>
        </w:tc>
        <w:tc>
          <w:tcPr>
            <w:tcW w:type="dxa" w:w="4104"/>
            <w:shd w:val="clear" w:color="auto" w:fill="1F497D"/>
            <w:vAlign w:val="center"/>
          </w:tcPr>
          <w:p>
            <w:pPr>
              <w:spacing w:after="0"/>
            </w:pPr>
            <w:r>
              <w:rPr>
                <w:rFonts w:ascii="Arial" w:hAnsi="Arial"/>
                <w:b/>
                <w:i w:val="0"/>
                <w:color w:val="FFFFFF"/>
                <w:sz w:val="20"/>
              </w:rPr>
              <w:t>Assessment</w:t>
            </w:r>
          </w:p>
        </w:tc>
      </w:tr>
      <w:tr>
        <w:tc>
          <w:tcPr>
            <w:tcW w:type="dxa" w:w="2448"/>
            <w:shd w:val="clear" w:color="auto" w:fill="EBF3FB"/>
          </w:tcPr>
          <w:p>
            <w:pPr>
              <w:spacing w:after="0"/>
            </w:pPr>
            <w:r>
              <w:rPr>
                <w:rFonts w:ascii="Arial" w:hAnsi="Arial"/>
                <w:b w:val="0"/>
                <w:i w:val="0"/>
                <w:sz w:val="19"/>
              </w:rPr>
              <w:t>Volume quartile</w:t>
            </w:r>
          </w:p>
        </w:tc>
        <w:tc>
          <w:tcPr>
            <w:tcW w:type="dxa" w:w="1080"/>
            <w:shd w:val="clear" w:color="auto" w:fill="EBF3FB"/>
          </w:tcPr>
          <w:p>
            <w:pPr>
              <w:spacing w:after="0"/>
            </w:pPr>
            <w:r>
              <w:rPr>
                <w:rFonts w:ascii="Arial" w:hAnsi="Arial"/>
                <w:b w:val="0"/>
                <w:i w:val="0"/>
                <w:sz w:val="19"/>
              </w:rPr>
              <w:t>0.2985</w:t>
            </w:r>
          </w:p>
        </w:tc>
        <w:tc>
          <w:tcPr>
            <w:tcW w:type="dxa" w:w="1296"/>
            <w:shd w:val="clear" w:color="auto" w:fill="EBF3FB"/>
          </w:tcPr>
          <w:p>
            <w:pPr>
              <w:spacing w:after="0"/>
            </w:pPr>
            <w:r>
              <w:rPr>
                <w:rFonts w:ascii="Arial" w:hAnsi="Arial"/>
                <w:b w:val="0"/>
                <w:i w:val="0"/>
                <w:sz w:val="19"/>
              </w:rPr>
              <w:t>0.0041</w:t>
            </w:r>
          </w:p>
        </w:tc>
        <w:tc>
          <w:tcPr>
            <w:tcW w:type="dxa" w:w="1296"/>
            <w:shd w:val="clear" w:color="auto" w:fill="EBF3FB"/>
          </w:tcPr>
          <w:p>
            <w:pPr>
              <w:spacing w:after="0"/>
            </w:pPr>
            <w:r>
              <w:rPr>
                <w:rFonts w:ascii="Arial" w:hAnsi="Arial"/>
                <w:b w:val="0"/>
                <w:i w:val="0"/>
                <w:sz w:val="19"/>
              </w:rPr>
              <w:t>0.0012</w:t>
            </w:r>
          </w:p>
        </w:tc>
        <w:tc>
          <w:tcPr>
            <w:tcW w:type="dxa" w:w="4104"/>
            <w:shd w:val="clear" w:color="auto" w:fill="EBF3FB"/>
          </w:tcPr>
          <w:p>
            <w:pPr>
              <w:spacing w:after="0"/>
            </w:pPr>
            <w:r>
              <w:rPr>
                <w:rFonts w:ascii="Arial" w:hAnsi="Arial"/>
                <w:b w:val="0"/>
                <w:i w:val="0"/>
                <w:sz w:val="19"/>
              </w:rPr>
              <w:t>Base-rate effect; errors uniform</w:t>
            </w:r>
          </w:p>
        </w:tc>
      </w:tr>
      <w:tr>
        <w:tc>
          <w:tcPr>
            <w:tcW w:type="dxa" w:w="2448"/>
            <w:shd w:val="clear" w:color="auto" w:fill="FFFFFF"/>
          </w:tcPr>
          <w:p>
            <w:pPr>
              <w:spacing w:after="0"/>
            </w:pPr>
            <w:r>
              <w:rPr>
                <w:rFonts w:ascii="Arial" w:hAnsi="Arial"/>
                <w:b w:val="0"/>
                <w:i w:val="0"/>
                <w:sz w:val="19"/>
              </w:rPr>
              <w:t>Flow duration bin</w:t>
            </w:r>
          </w:p>
        </w:tc>
        <w:tc>
          <w:tcPr>
            <w:tcW w:type="dxa" w:w="1080"/>
            <w:shd w:val="clear" w:color="auto" w:fill="FFFFFF"/>
          </w:tcPr>
          <w:p>
            <w:pPr>
              <w:spacing w:after="0"/>
            </w:pPr>
            <w:r>
              <w:rPr>
                <w:rFonts w:ascii="Arial" w:hAnsi="Arial"/>
                <w:b w:val="0"/>
                <w:i w:val="0"/>
                <w:sz w:val="19"/>
              </w:rPr>
              <w:t>0.3981</w:t>
            </w:r>
          </w:p>
        </w:tc>
        <w:tc>
          <w:tcPr>
            <w:tcW w:type="dxa" w:w="1296"/>
            <w:shd w:val="clear" w:color="auto" w:fill="FFFFFF"/>
          </w:tcPr>
          <w:p>
            <w:pPr>
              <w:spacing w:after="0"/>
            </w:pPr>
            <w:r>
              <w:rPr>
                <w:rFonts w:ascii="Arial" w:hAnsi="Arial"/>
                <w:b w:val="0"/>
                <w:i w:val="0"/>
                <w:sz w:val="19"/>
              </w:rPr>
              <w:t>0.0009</w:t>
            </w:r>
          </w:p>
        </w:tc>
        <w:tc>
          <w:tcPr>
            <w:tcW w:type="dxa" w:w="1296"/>
            <w:shd w:val="clear" w:color="auto" w:fill="FFFFFF"/>
          </w:tcPr>
          <w:p>
            <w:pPr>
              <w:spacing w:after="0"/>
            </w:pPr>
            <w:r>
              <w:rPr>
                <w:rFonts w:ascii="Arial" w:hAnsi="Arial"/>
                <w:b w:val="0"/>
                <w:i w:val="0"/>
                <w:sz w:val="19"/>
              </w:rPr>
              <w:t>0.0004</w:t>
            </w:r>
          </w:p>
        </w:tc>
        <w:tc>
          <w:tcPr>
            <w:tcW w:type="dxa" w:w="4104"/>
            <w:shd w:val="clear" w:color="auto" w:fill="FFFFFF"/>
          </w:tcPr>
          <w:p>
            <w:pPr>
              <w:spacing w:after="0"/>
            </w:pPr>
            <w:r>
              <w:rPr>
                <w:rFonts w:ascii="Arial" w:hAnsi="Arial"/>
                <w:b w:val="0"/>
                <w:i w:val="0"/>
                <w:sz w:val="19"/>
              </w:rPr>
              <w:t>Base-rate effect; errors uniform</w:t>
            </w:r>
          </w:p>
        </w:tc>
      </w:tr>
      <w:tr>
        <w:tc>
          <w:tcPr>
            <w:tcW w:type="dxa" w:w="2448"/>
            <w:shd w:val="clear" w:color="auto" w:fill="EBF3FB"/>
          </w:tcPr>
          <w:p>
            <w:pPr>
              <w:spacing w:after="0"/>
            </w:pPr>
            <w:r>
              <w:rPr>
                <w:rFonts w:ascii="Arial" w:hAnsi="Arial"/>
                <w:b w:val="0"/>
                <w:i w:val="0"/>
                <w:sz w:val="19"/>
              </w:rPr>
              <w:t>Protocol group</w:t>
            </w:r>
          </w:p>
        </w:tc>
        <w:tc>
          <w:tcPr>
            <w:tcW w:type="dxa" w:w="1080"/>
            <w:shd w:val="clear" w:color="auto" w:fill="EBF3FB"/>
          </w:tcPr>
          <w:p>
            <w:pPr>
              <w:spacing w:after="0"/>
            </w:pPr>
            <w:r>
              <w:rPr>
                <w:rFonts w:ascii="Arial" w:hAnsi="Arial"/>
                <w:b w:val="0"/>
                <w:i w:val="0"/>
                <w:sz w:val="19"/>
              </w:rPr>
              <w:t>N/A</w:t>
            </w:r>
          </w:p>
        </w:tc>
        <w:tc>
          <w:tcPr>
            <w:tcW w:type="dxa" w:w="1296"/>
            <w:shd w:val="clear" w:color="auto" w:fill="EBF3FB"/>
          </w:tcPr>
          <w:p>
            <w:pPr>
              <w:spacing w:after="0"/>
            </w:pPr>
            <w:r>
              <w:rPr>
                <w:rFonts w:ascii="Arial" w:hAnsi="Arial"/>
                <w:b w:val="0"/>
                <w:i w:val="0"/>
                <w:sz w:val="19"/>
              </w:rPr>
              <w:t>N/A</w:t>
            </w:r>
          </w:p>
        </w:tc>
        <w:tc>
          <w:tcPr>
            <w:tcW w:type="dxa" w:w="1296"/>
            <w:shd w:val="clear" w:color="auto" w:fill="EBF3FB"/>
          </w:tcPr>
          <w:p>
            <w:pPr>
              <w:spacing w:after="0"/>
            </w:pPr>
            <w:r>
              <w:rPr>
                <w:rFonts w:ascii="Arial" w:hAnsi="Arial"/>
                <w:b w:val="0"/>
                <w:i w:val="0"/>
                <w:sz w:val="19"/>
              </w:rPr>
              <w:t>N/A</w:t>
            </w:r>
          </w:p>
        </w:tc>
        <w:tc>
          <w:tcPr>
            <w:tcW w:type="dxa" w:w="4104"/>
            <w:shd w:val="clear" w:color="auto" w:fill="EBF3FB"/>
          </w:tcPr>
          <w:p>
            <w:pPr>
              <w:spacing w:after="0"/>
            </w:pPr>
            <w:r>
              <w:rPr>
                <w:rFonts w:ascii="Arial" w:hAnsi="Arial"/>
                <w:b w:val="0"/>
                <w:i w:val="0"/>
                <w:sz w:val="19"/>
              </w:rPr>
              <w:t>Unavailable — feature excluded in selection</w:t>
            </w:r>
          </w:p>
        </w:tc>
      </w:tr>
    </w:tbl>
    <w:p/>
    <w:p>
      <w:pPr>
        <w:spacing w:after="120"/>
      </w:pPr>
      <w:r>
        <w:rPr>
          <w:rFonts w:ascii="Arial" w:hAnsi="Arial"/>
          <w:b w:val="0"/>
          <w:i w:val="0"/>
          <w:sz w:val="22"/>
        </w:rPr>
        <w:t>DIR failures across both dimensions are attributable entirely to genuine differences in attack concentration across traffic segments, not to the model treating similar flows differently based on group membership. Near-zero FPR and FNR ranges confirm equalized odds is effectively satisfied.</w:t>
      </w:r>
    </w:p>
    <w:p>
      <w:pPr>
        <w:pStyle w:val="Heading2"/>
      </w:pPr>
      <w:r>
        <w:rPr>
          <w:rFonts w:ascii="Arial" w:hAnsi="Arial"/>
          <w:color w:val="1F497D"/>
        </w:rPr>
        <w:t>Mitigation Strategies</w:t>
      </w:r>
    </w:p>
    <w:p>
      <w:pPr>
        <w:pStyle w:val="ListBullet"/>
        <w:spacing w:after="60"/>
        <w:ind w:left="360"/>
      </w:pPr>
      <w:r>
        <w:rPr>
          <w:rFonts w:ascii="Arial" w:hAnsi="Arial"/>
          <w:b w:val="0"/>
          <w:i w:val="0"/>
          <w:sz w:val="21"/>
        </w:rPr>
        <w:t>Class imbalance: SMOTE or ADASYN oversampling targeting Botnet and Infiltration. Two-stage architecture with a fast binary detector followed by per-category specialist models.</w:t>
      </w:r>
    </w:p>
    <w:p>
      <w:pPr>
        <w:pStyle w:val="ListBullet"/>
        <w:spacing w:after="60"/>
        <w:ind w:left="360"/>
      </w:pPr>
      <w:r>
        <w:rPr>
          <w:rFonts w:ascii="Arial" w:hAnsi="Arial"/>
          <w:b w:val="0"/>
          <w:i w:val="0"/>
          <w:sz w:val="21"/>
        </w:rPr>
        <w:t>Overfitting: increased L1/L2 regularisation and reduced max_depth (4–6). Early stopping against a held-out validation set during XGBoost training.</w:t>
      </w:r>
    </w:p>
    <w:p>
      <w:pPr>
        <w:pStyle w:val="ListBullet"/>
        <w:spacing w:after="60"/>
        <w:ind w:left="360"/>
      </w:pPr>
      <w:r>
        <w:rPr>
          <w:rFonts w:ascii="Arial" w:hAnsi="Arial"/>
          <w:b w:val="0"/>
          <w:i w:val="0"/>
          <w:sz w:val="21"/>
        </w:rPr>
        <w:t>Leakage and latency: parallel sub-flow model trained on first-packet features for real-time detection. Full-flow model retained for forensic scoring.</w:t>
      </w:r>
    </w:p>
    <w:p>
      <w:pPr>
        <w:pStyle w:val="ListBullet"/>
        <w:spacing w:after="60"/>
        <w:ind w:left="360"/>
      </w:pPr>
      <w:r>
        <w:rPr>
          <w:rFonts w:ascii="Arial" w:hAnsi="Arial"/>
          <w:b w:val="0"/>
          <w:i w:val="0"/>
          <w:sz w:val="21"/>
        </w:rPr>
        <w:t>Temporal drift: Population Stability Index monitoring on top-10 SHAP features, evaluated weekly. Retraining triggered when PSI exceeds 0.20 on any top-5 feature.</w:t>
      </w:r>
    </w:p>
    <w:p>
      <w:pPr>
        <w:pStyle w:val="ListBullet"/>
        <w:spacing w:after="60"/>
        <w:ind w:left="360"/>
      </w:pPr>
      <w:r>
        <w:rPr>
          <w:rFonts w:ascii="Arial" w:hAnsi="Arial"/>
          <w:b w:val="0"/>
          <w:i w:val="0"/>
          <w:sz w:val="21"/>
        </w:rPr>
        <w:t>Per-group threshold calibration: calibrated thresholds applied against overall FNR baseline of 0.0006. Q1=0.32, Q2=0.10, Q3=0.10, Q4=0.72. Resulting per-group FNR values are 0.0007, 0.0000, 0.0000, and 0.0005 respectively — all within 0.02 tolerance target.</w:t>
      </w:r>
    </w:p>
    <w:p>
      <w:pPr>
        <w:pStyle w:val="ListBullet"/>
        <w:spacing w:after="60"/>
        <w:ind w:left="360"/>
      </w:pPr>
      <w:r>
        <w:rPr>
          <w:rFonts w:ascii="Arial" w:hAnsi="Arial"/>
          <w:b w:val="0"/>
          <w:i w:val="0"/>
          <w:sz w:val="21"/>
        </w:rPr>
        <w:t>Threshold optimisation: optimal threshold 0.9820 yields Precision 0.9977, Recall 0.9917, weighted F1 0.9981. Appropriate threshold depends on cost ratio between missed attacks and false positives and should be calibrated against operational SLAs.</w:t>
      </w:r>
    </w:p>
    <w:p>
      <w:pPr>
        <w:pStyle w:val="ListBullet"/>
        <w:spacing w:after="60"/>
        <w:ind w:left="360"/>
      </w:pPr>
      <w:r>
        <w:rPr>
          <w:rFonts w:ascii="Arial" w:hAnsi="Arial"/>
          <w:b w:val="0"/>
          <w:i w:val="0"/>
          <w:sz w:val="21"/>
        </w:rPr>
        <w:t>High-uncertainty predictions (P(Attack) between 0.40 and 0.70): routed to human-in-the-loop analyst review rather than auto-blocking.</w:t>
      </w:r>
    </w:p>
    <w:p>
      <w:r>
        <w:br w:type="page"/>
      </w:r>
    </w:p>
    <w:p>
      <w:pPr>
        <w:pStyle w:val="Heading1"/>
      </w:pPr>
      <w:r>
        <w:rPr>
          <w:rFonts w:ascii="Arial" w:hAnsi="Arial"/>
          <w:color w:val="1F497D"/>
        </w:rPr>
        <w:t>GitHub Repository</w:t>
      </w:r>
    </w:p>
    <w:p>
      <w:pPr>
        <w:pBdr>
          <w:bottom w:val="single" w:sz="4" w:space="1" w:color="AAAAAA"/>
        </w:pBdr>
        <w:spacing w:after="200"/>
      </w:pPr>
    </w:p>
    <w:p>
      <w:pPr>
        <w:spacing w:after="120"/>
      </w:pPr>
      <w:r>
        <w:rPr>
          <w:rFonts w:ascii="Arial" w:hAnsi="Arial"/>
          <w:b w:val="0"/>
          <w:i w:val="0"/>
          <w:sz w:val="22"/>
        </w:rPr>
        <w:t>All project code, notebooks, models, and reports are published in a public GitHub repository:</w:t>
      </w:r>
    </w:p>
    <w:p>
      <w:pPr>
        <w:spacing w:after="160"/>
      </w:pPr>
      <w:hyperlink r:id="rId10">
        <w:r>
          <w:rPr>
            <w:rStyle w:val="Hyperlink"/>
          </w:rPr>
          <w:t>https://github.com/elitochanjr/cicids2017-intrusion-detection</w:t>
        </w:r>
      </w:hyperlink>
    </w:p>
    <w:p>
      <w:pPr>
        <w:pStyle w:val="Heading2"/>
      </w:pPr>
      <w:r>
        <w:rPr>
          <w:rFonts w:ascii="Arial" w:hAnsi="Arial"/>
          <w:color w:val="1F497D"/>
        </w:rPr>
        <w:t>Repository Structure</w:t>
      </w:r>
    </w:p>
    <w:p>
      <w:pPr>
        <w:pStyle w:val="ListBullet"/>
        <w:spacing w:after="60"/>
        <w:ind w:left="360"/>
      </w:pPr>
      <w:r>
        <w:rPr>
          <w:rFonts w:ascii="Arial" w:hAnsi="Arial"/>
          <w:b w:val="0"/>
          <w:i w:val="0"/>
          <w:sz w:val="21"/>
        </w:rPr>
        <w:t>notebooks/ — Step-prefixed Jupyter notebooks for each pipeline stage (step2_ through step5_)</w:t>
      </w:r>
    </w:p>
    <w:p>
      <w:pPr>
        <w:pStyle w:val="ListBullet"/>
        <w:spacing w:after="60"/>
        <w:ind w:left="360"/>
      </w:pPr>
      <w:r>
        <w:rPr>
          <w:rFonts w:ascii="Arial" w:hAnsi="Arial"/>
          <w:b w:val="0"/>
          <w:i w:val="0"/>
          <w:sz w:val="21"/>
        </w:rPr>
        <w:t>models/ — Saved model artifacts (.pkl), configurations (.json), and model_comparison.csv</w:t>
      </w:r>
    </w:p>
    <w:p>
      <w:pPr>
        <w:pStyle w:val="ListBullet"/>
        <w:spacing w:after="60"/>
        <w:ind w:left="360"/>
      </w:pPr>
      <w:r>
        <w:rPr>
          <w:rFonts w:ascii="Arial" w:hAnsi="Arial"/>
          <w:b w:val="0"/>
          <w:i w:val="0"/>
          <w:sz w:val="21"/>
        </w:rPr>
        <w:t>data/ — Dataset references and Kaggle CLI instructions</w:t>
      </w:r>
    </w:p>
    <w:p>
      <w:pPr>
        <w:pStyle w:val="ListBullet"/>
        <w:spacing w:after="60"/>
        <w:ind w:left="360"/>
      </w:pPr>
      <w:r>
        <w:rPr>
          <w:rFonts w:ascii="Arial" w:hAnsi="Arial"/>
          <w:b w:val="0"/>
          <w:i w:val="0"/>
          <w:sz w:val="21"/>
        </w:rPr>
        <w:t>src/ — Reusable utility modules</w:t>
      </w:r>
    </w:p>
    <w:p>
      <w:pPr>
        <w:pStyle w:val="ListBullet"/>
        <w:spacing w:after="60"/>
        <w:ind w:left="360"/>
      </w:pPr>
      <w:r>
        <w:rPr>
          <w:rFonts w:ascii="Arial" w:hAnsi="Arial"/>
          <w:b w:val="0"/>
          <w:i w:val="0"/>
          <w:sz w:val="21"/>
        </w:rPr>
        <w:t>reports/ — Capstone report (Markdown and Word), technical and business presentations</w:t>
      </w:r>
    </w:p>
    <w:p>
      <w:pPr>
        <w:pStyle w:val="ListBullet"/>
        <w:spacing w:after="60"/>
        <w:ind w:left="360"/>
      </w:pPr>
      <w:r>
        <w:rPr>
          <w:rFonts w:ascii="Arial" w:hAnsi="Arial"/>
          <w:b w:val="0"/>
          <w:i w:val="0"/>
          <w:sz w:val="21"/>
        </w:rPr>
        <w:t>README.md — Project overview, setup instructions, dataset source, pipeline summary, model artifact links</w:t>
      </w:r>
    </w:p>
    <w:p>
      <w:pPr>
        <w:pStyle w:val="ListBullet"/>
        <w:spacing w:after="60"/>
        <w:ind w:left="360"/>
      </w:pPr>
      <w:r>
        <w:rPr>
          <w:rFonts w:ascii="Arial" w:hAnsi="Arial"/>
          <w:b w:val="0"/>
          <w:i w:val="0"/>
          <w:sz w:val="21"/>
        </w:rPr>
        <w:t>requirements.txt — Full Python dependency list for environment reproducibility</w:t>
      </w:r>
    </w:p>
    <w:p>
      <w:pPr>
        <w:spacing w:after="120"/>
      </w:pPr>
      <w:r>
        <w:rPr>
          <w:rFonts w:ascii="Arial" w:hAnsi="Arial"/>
          <w:b w:val="0"/>
          <w:i w:val="0"/>
          <w:sz w:val="22"/>
        </w:rPr>
        <w:t>The repository is structured to follow open-source project conventions, with reproducibility instructions in the README covering Kaggle CLI dataset download and Google Drive model artifact access.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8"/>
      </w:rPr>
      <w:t xml:space="preserve">Elito Chan Jr.  |  PGD AIML Capstone  |  Page </w:t>
    </w:r>
    <w:r>
      <w:rPr>
        <w:rFonts w:ascii="Arial" w:hAnsi="Arial"/>
        <w:b w:val="0"/>
        <w:i w:val="0"/>
        <w:color w:val="80808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litochanjr/cicids2017-intrusion-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