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4E70" w14:textId="64B63BFC" w:rsidR="00C074FA" w:rsidRPr="008000FF" w:rsidRDefault="00C074FA" w:rsidP="006D64DB">
      <w:pPr>
        <w:pStyle w:val="NoSpacing"/>
        <w:jc w:val="center"/>
        <w:rPr>
          <w:b/>
          <w:bCs/>
          <w:color w:val="4472C4" w:themeColor="accent1"/>
          <w:sz w:val="28"/>
          <w:szCs w:val="28"/>
        </w:rPr>
      </w:pPr>
      <w:r w:rsidRPr="008000FF">
        <w:rPr>
          <w:b/>
          <w:bCs/>
          <w:color w:val="4472C4" w:themeColor="accent1"/>
          <w:sz w:val="28"/>
          <w:szCs w:val="28"/>
        </w:rPr>
        <w:t xml:space="preserve">Banks in Distress: Analyzing the </w:t>
      </w:r>
      <w:r w:rsidRPr="008000FF">
        <w:rPr>
          <w:b/>
          <w:bCs/>
          <w:color w:val="4472C4" w:themeColor="accent1"/>
          <w:sz w:val="28"/>
          <w:szCs w:val="28"/>
        </w:rPr>
        <w:t>Regions</w:t>
      </w:r>
      <w:r w:rsidRPr="008000FF">
        <w:rPr>
          <w:b/>
          <w:bCs/>
          <w:color w:val="4472C4" w:themeColor="accent1"/>
          <w:sz w:val="28"/>
          <w:szCs w:val="28"/>
        </w:rPr>
        <w:t xml:space="preserve"> of US Bank Failures</w:t>
      </w:r>
    </w:p>
    <w:p w14:paraId="3362223B" w14:textId="442F7302" w:rsidR="00C074FA" w:rsidRPr="00DE4693" w:rsidRDefault="00C074FA" w:rsidP="006D64DB">
      <w:pPr>
        <w:pStyle w:val="NoSpacing"/>
        <w:jc w:val="center"/>
        <w:rPr>
          <w:sz w:val="24"/>
          <w:szCs w:val="24"/>
        </w:rPr>
      </w:pPr>
      <w:r w:rsidRPr="00DE4693">
        <w:rPr>
          <w:sz w:val="24"/>
          <w:szCs w:val="24"/>
        </w:rPr>
        <w:t>Eli Tracewell, Matthew Panganiban, John Kelly, Nicole Howell</w:t>
      </w:r>
    </w:p>
    <w:p w14:paraId="42BB0E12" w14:textId="77777777" w:rsidR="006D64DB" w:rsidRDefault="006D64DB" w:rsidP="006D64DB">
      <w:pPr>
        <w:pStyle w:val="NoSpacing"/>
        <w:jc w:val="center"/>
      </w:pPr>
    </w:p>
    <w:p w14:paraId="2CC34BAC" w14:textId="77777777" w:rsidR="006D64DB" w:rsidRDefault="006D64DB" w:rsidP="006D64DB">
      <w:pPr>
        <w:pStyle w:val="NoSpacing"/>
        <w:jc w:val="center"/>
      </w:pPr>
    </w:p>
    <w:p w14:paraId="1E6141F5" w14:textId="5CB468B7" w:rsidR="00AE1703" w:rsidRDefault="00797566" w:rsidP="00AA2F28">
      <w:pPr>
        <w:spacing w:line="360" w:lineRule="auto"/>
        <w:ind w:firstLine="360"/>
        <w:rPr>
          <w:sz w:val="24"/>
          <w:szCs w:val="24"/>
        </w:rPr>
      </w:pPr>
      <w:r w:rsidRPr="006D64DB">
        <w:rPr>
          <w:sz w:val="24"/>
          <w:szCs w:val="24"/>
        </w:rPr>
        <w:t xml:space="preserve">The </w:t>
      </w:r>
      <w:r w:rsidR="003B7B1B">
        <w:rPr>
          <w:sz w:val="24"/>
          <w:szCs w:val="24"/>
        </w:rPr>
        <w:t xml:space="preserve">large spikes </w:t>
      </w:r>
      <w:r w:rsidR="002B0978">
        <w:rPr>
          <w:sz w:val="24"/>
          <w:szCs w:val="24"/>
        </w:rPr>
        <w:t xml:space="preserve">of </w:t>
      </w:r>
      <w:r w:rsidRPr="006D64DB">
        <w:rPr>
          <w:sz w:val="24"/>
          <w:szCs w:val="24"/>
        </w:rPr>
        <w:t xml:space="preserve">bank failures </w:t>
      </w:r>
      <w:r w:rsidR="002B0978">
        <w:rPr>
          <w:sz w:val="24"/>
          <w:szCs w:val="24"/>
        </w:rPr>
        <w:t xml:space="preserve">we found </w:t>
      </w:r>
      <w:r w:rsidR="00733961" w:rsidRPr="006D64DB">
        <w:rPr>
          <w:sz w:val="24"/>
          <w:szCs w:val="24"/>
        </w:rPr>
        <w:t xml:space="preserve">occurred between the </w:t>
      </w:r>
      <w:r w:rsidR="00033E30" w:rsidRPr="006D64DB">
        <w:rPr>
          <w:sz w:val="24"/>
          <w:szCs w:val="24"/>
        </w:rPr>
        <w:t>years</w:t>
      </w:r>
      <w:r w:rsidR="00733961" w:rsidRPr="006D64DB">
        <w:rPr>
          <w:sz w:val="24"/>
          <w:szCs w:val="24"/>
        </w:rPr>
        <w:t xml:space="preserve"> 1975 to 1995</w:t>
      </w:r>
      <w:r w:rsidR="00033E30">
        <w:rPr>
          <w:sz w:val="24"/>
          <w:szCs w:val="24"/>
        </w:rPr>
        <w:t xml:space="preserve"> </w:t>
      </w:r>
      <w:r w:rsidR="004B767F">
        <w:rPr>
          <w:sz w:val="24"/>
          <w:szCs w:val="24"/>
        </w:rPr>
        <w:t xml:space="preserve">and </w:t>
      </w:r>
      <w:r w:rsidR="004B767F">
        <w:rPr>
          <w:sz w:val="24"/>
          <w:szCs w:val="24"/>
        </w:rPr>
        <w:t xml:space="preserve">2000 </w:t>
      </w:r>
      <w:r w:rsidR="00DE4693">
        <w:rPr>
          <w:sz w:val="24"/>
          <w:szCs w:val="24"/>
        </w:rPr>
        <w:t>to</w:t>
      </w:r>
      <w:r w:rsidR="004B767F">
        <w:rPr>
          <w:sz w:val="24"/>
          <w:szCs w:val="24"/>
        </w:rPr>
        <w:t xml:space="preserve"> 2020</w:t>
      </w:r>
      <w:r w:rsidR="00733961" w:rsidRPr="006D64DB">
        <w:rPr>
          <w:sz w:val="24"/>
          <w:szCs w:val="24"/>
        </w:rPr>
        <w:t>.</w:t>
      </w:r>
      <w:r w:rsidR="0069229B" w:rsidRPr="006D64DB">
        <w:rPr>
          <w:sz w:val="24"/>
          <w:szCs w:val="24"/>
        </w:rPr>
        <w:t xml:space="preserve"> </w:t>
      </w:r>
      <w:r w:rsidR="00AE1703">
        <w:rPr>
          <w:sz w:val="24"/>
          <w:szCs w:val="24"/>
        </w:rPr>
        <w:t xml:space="preserve">The cause of </w:t>
      </w:r>
      <w:r w:rsidR="00F82A4E">
        <w:rPr>
          <w:sz w:val="24"/>
          <w:szCs w:val="24"/>
        </w:rPr>
        <w:t xml:space="preserve">the significant </w:t>
      </w:r>
      <w:r w:rsidR="00033E30">
        <w:rPr>
          <w:sz w:val="24"/>
          <w:szCs w:val="24"/>
        </w:rPr>
        <w:t>number</w:t>
      </w:r>
      <w:r w:rsidR="00F82A4E">
        <w:rPr>
          <w:sz w:val="24"/>
          <w:szCs w:val="24"/>
        </w:rPr>
        <w:t xml:space="preserve"> of bank failures </w:t>
      </w:r>
      <w:r w:rsidR="00033E30" w:rsidRPr="006D64DB">
        <w:rPr>
          <w:sz w:val="24"/>
          <w:szCs w:val="24"/>
        </w:rPr>
        <w:t>from</w:t>
      </w:r>
      <w:r w:rsidR="0069229B" w:rsidRPr="006D64DB">
        <w:rPr>
          <w:sz w:val="24"/>
          <w:szCs w:val="24"/>
        </w:rPr>
        <w:t xml:space="preserve"> </w:t>
      </w:r>
      <w:r w:rsidR="004B767F" w:rsidRPr="006D64DB">
        <w:rPr>
          <w:sz w:val="24"/>
          <w:szCs w:val="24"/>
        </w:rPr>
        <w:t>1975 to 1995</w:t>
      </w:r>
      <w:r w:rsidR="0069229B" w:rsidRPr="006D64DB">
        <w:rPr>
          <w:sz w:val="24"/>
          <w:szCs w:val="24"/>
        </w:rPr>
        <w:t xml:space="preserve"> </w:t>
      </w:r>
      <w:r w:rsidR="00D16A8F">
        <w:rPr>
          <w:sz w:val="24"/>
          <w:szCs w:val="24"/>
        </w:rPr>
        <w:t>was driven by</w:t>
      </w:r>
      <w:r w:rsidR="000210F3" w:rsidRPr="006D64DB">
        <w:rPr>
          <w:sz w:val="24"/>
          <w:szCs w:val="24"/>
        </w:rPr>
        <w:t xml:space="preserve"> high interest rates </w:t>
      </w:r>
      <w:r w:rsidR="000210F3" w:rsidRPr="00BC691A">
        <w:rPr>
          <w:rFonts w:cstheme="minorHAnsi"/>
          <w:sz w:val="24"/>
          <w:szCs w:val="24"/>
        </w:rPr>
        <w:t>and inflation</w:t>
      </w:r>
      <w:r w:rsidR="003A2537" w:rsidRPr="00BC691A">
        <w:rPr>
          <w:rFonts w:cstheme="minorHAnsi"/>
          <w:sz w:val="24"/>
          <w:szCs w:val="24"/>
        </w:rPr>
        <w:t xml:space="preserve">. </w:t>
      </w:r>
      <w:r w:rsidR="00BC691A" w:rsidRPr="00BC691A">
        <w:rPr>
          <w:rFonts w:cstheme="minorHAnsi"/>
          <w:color w:val="111111"/>
          <w:sz w:val="24"/>
          <w:szCs w:val="24"/>
        </w:rPr>
        <w:t>The Southwest region</w:t>
      </w:r>
      <w:r w:rsidR="001D2FD7">
        <w:rPr>
          <w:rFonts w:cstheme="minorHAnsi"/>
          <w:color w:val="111111"/>
          <w:sz w:val="24"/>
          <w:szCs w:val="24"/>
        </w:rPr>
        <w:t>, especially Texas,</w:t>
      </w:r>
      <w:r w:rsidR="00BC691A" w:rsidRPr="00BC691A">
        <w:rPr>
          <w:rFonts w:cstheme="minorHAnsi"/>
          <w:color w:val="111111"/>
          <w:sz w:val="24"/>
          <w:szCs w:val="24"/>
        </w:rPr>
        <w:t xml:space="preserve"> </w:t>
      </w:r>
      <w:r w:rsidR="00BC691A" w:rsidRPr="00BC691A">
        <w:rPr>
          <w:rFonts w:cstheme="minorHAnsi"/>
          <w:color w:val="111111"/>
          <w:sz w:val="24"/>
          <w:szCs w:val="24"/>
        </w:rPr>
        <w:t xml:space="preserve">experienced the </w:t>
      </w:r>
      <w:r w:rsidR="005E44CC">
        <w:rPr>
          <w:rFonts w:cstheme="minorHAnsi"/>
          <w:color w:val="111111"/>
          <w:sz w:val="24"/>
          <w:szCs w:val="24"/>
        </w:rPr>
        <w:t>highest impact of bank failures</w:t>
      </w:r>
      <w:r w:rsidR="00385791">
        <w:rPr>
          <w:rFonts w:cstheme="minorHAnsi"/>
          <w:color w:val="111111"/>
          <w:sz w:val="24"/>
          <w:szCs w:val="24"/>
        </w:rPr>
        <w:t xml:space="preserve"> because they invested </w:t>
      </w:r>
      <w:r w:rsidR="003F3AD0">
        <w:rPr>
          <w:rFonts w:cstheme="minorHAnsi"/>
          <w:color w:val="111111"/>
          <w:sz w:val="24"/>
          <w:szCs w:val="24"/>
        </w:rPr>
        <w:t>a substantial amount of</w:t>
      </w:r>
      <w:r w:rsidR="00385791">
        <w:rPr>
          <w:rFonts w:cstheme="minorHAnsi"/>
          <w:color w:val="111111"/>
          <w:sz w:val="24"/>
          <w:szCs w:val="24"/>
        </w:rPr>
        <w:t xml:space="preserve"> money into oil. During this time, oil price</w:t>
      </w:r>
      <w:r w:rsidR="003F3AD0">
        <w:rPr>
          <w:rFonts w:cstheme="minorHAnsi"/>
          <w:color w:val="111111"/>
          <w:sz w:val="24"/>
          <w:szCs w:val="24"/>
        </w:rPr>
        <w:t xml:space="preserve">s considerably increased and then dropped due to </w:t>
      </w:r>
      <w:r w:rsidR="008C08D7">
        <w:rPr>
          <w:rFonts w:cstheme="minorHAnsi"/>
          <w:color w:val="111111"/>
          <w:sz w:val="24"/>
          <w:szCs w:val="24"/>
        </w:rPr>
        <w:t xml:space="preserve">supply and </w:t>
      </w:r>
      <w:r w:rsidR="003F3AD0">
        <w:rPr>
          <w:rFonts w:cstheme="minorHAnsi"/>
          <w:color w:val="111111"/>
          <w:sz w:val="24"/>
          <w:szCs w:val="24"/>
        </w:rPr>
        <w:t>demand</w:t>
      </w:r>
      <w:r w:rsidR="00C959FD">
        <w:rPr>
          <w:rFonts w:cstheme="minorHAnsi"/>
          <w:color w:val="111111"/>
          <w:sz w:val="24"/>
          <w:szCs w:val="24"/>
        </w:rPr>
        <w:t xml:space="preserve"> </w:t>
      </w:r>
      <w:r w:rsidR="00C014EA" w:rsidRPr="00C959FD">
        <w:rPr>
          <w:rFonts w:cstheme="minorHAnsi"/>
          <w:color w:val="111111"/>
          <w:sz w:val="24"/>
          <w:szCs w:val="24"/>
        </w:rPr>
        <w:t>(</w:t>
      </w:r>
      <w:r w:rsidR="00C014EA" w:rsidRPr="00C959FD">
        <w:rPr>
          <w:sz w:val="24"/>
          <w:szCs w:val="24"/>
        </w:rPr>
        <w:t>FDIC</w:t>
      </w:r>
      <w:r w:rsidR="00C959FD" w:rsidRPr="00C959FD">
        <w:rPr>
          <w:sz w:val="24"/>
          <w:szCs w:val="24"/>
        </w:rPr>
        <w:t xml:space="preserve">). </w:t>
      </w:r>
      <w:r w:rsidR="0075335F">
        <w:rPr>
          <w:sz w:val="24"/>
          <w:szCs w:val="24"/>
        </w:rPr>
        <w:t xml:space="preserve">For example, when the banks invested $27 </w:t>
      </w:r>
      <w:r w:rsidR="00E87967">
        <w:rPr>
          <w:sz w:val="24"/>
          <w:szCs w:val="24"/>
        </w:rPr>
        <w:t>per barrel int</w:t>
      </w:r>
      <w:r w:rsidR="00C14BB9">
        <w:rPr>
          <w:sz w:val="24"/>
          <w:szCs w:val="24"/>
        </w:rPr>
        <w:t xml:space="preserve">o oil </w:t>
      </w:r>
      <w:r w:rsidR="009A4525">
        <w:rPr>
          <w:sz w:val="24"/>
          <w:szCs w:val="24"/>
        </w:rPr>
        <w:t xml:space="preserve">within just a few years </w:t>
      </w:r>
      <w:r w:rsidR="00DD2FFD">
        <w:rPr>
          <w:sz w:val="24"/>
          <w:szCs w:val="24"/>
        </w:rPr>
        <w:t xml:space="preserve">prices per barrel dropped below $10. </w:t>
      </w:r>
      <w:r w:rsidR="00732FAC">
        <w:rPr>
          <w:sz w:val="24"/>
          <w:szCs w:val="24"/>
        </w:rPr>
        <w:t xml:space="preserve">We found the top </w:t>
      </w:r>
      <w:r w:rsidR="002B49AD">
        <w:rPr>
          <w:sz w:val="24"/>
          <w:szCs w:val="24"/>
        </w:rPr>
        <w:t>few</w:t>
      </w:r>
      <w:r w:rsidR="00732FAC">
        <w:rPr>
          <w:sz w:val="24"/>
          <w:szCs w:val="24"/>
        </w:rPr>
        <w:t xml:space="preserve"> states impacted by this were Texas, California, Oklahoma, </w:t>
      </w:r>
      <w:r w:rsidR="00114329">
        <w:rPr>
          <w:sz w:val="24"/>
          <w:szCs w:val="24"/>
        </w:rPr>
        <w:t xml:space="preserve">Louisiana, </w:t>
      </w:r>
      <w:r w:rsidR="002B49AD">
        <w:rPr>
          <w:sz w:val="24"/>
          <w:szCs w:val="24"/>
        </w:rPr>
        <w:t xml:space="preserve">and Illinois. </w:t>
      </w:r>
    </w:p>
    <w:p w14:paraId="6422FD81" w14:textId="678C5762" w:rsidR="00DD2FFD" w:rsidRDefault="00185762" w:rsidP="00AA2F28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cause of the significant amount of bank failures </w:t>
      </w:r>
      <w:r w:rsidRPr="006D64DB">
        <w:rPr>
          <w:sz w:val="24"/>
          <w:szCs w:val="24"/>
        </w:rPr>
        <w:t xml:space="preserve">during </w:t>
      </w:r>
      <w:r>
        <w:rPr>
          <w:sz w:val="24"/>
          <w:szCs w:val="24"/>
        </w:rPr>
        <w:t>2000 to 2020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was driven by</w:t>
      </w:r>
      <w:r w:rsidR="00433CBA">
        <w:rPr>
          <w:sz w:val="24"/>
          <w:szCs w:val="24"/>
        </w:rPr>
        <w:t xml:space="preserve"> th</w:t>
      </w:r>
      <w:r w:rsidR="009402D2">
        <w:rPr>
          <w:sz w:val="24"/>
          <w:szCs w:val="24"/>
        </w:rPr>
        <w:t xml:space="preserve">e </w:t>
      </w:r>
      <w:r w:rsidR="00433CBA">
        <w:rPr>
          <w:sz w:val="24"/>
          <w:szCs w:val="24"/>
        </w:rPr>
        <w:t xml:space="preserve">financial crisis in </w:t>
      </w:r>
      <w:r w:rsidR="003E6A4F">
        <w:rPr>
          <w:sz w:val="24"/>
          <w:szCs w:val="24"/>
        </w:rPr>
        <w:t>200</w:t>
      </w:r>
      <w:r w:rsidR="007C51A4">
        <w:rPr>
          <w:sz w:val="24"/>
          <w:szCs w:val="24"/>
        </w:rPr>
        <w:t>7</w:t>
      </w:r>
      <w:r w:rsidR="003E6A4F">
        <w:rPr>
          <w:sz w:val="24"/>
          <w:szCs w:val="24"/>
        </w:rPr>
        <w:t xml:space="preserve"> </w:t>
      </w:r>
      <w:r w:rsidR="007C51A4">
        <w:rPr>
          <w:sz w:val="24"/>
          <w:szCs w:val="24"/>
        </w:rPr>
        <w:t>to</w:t>
      </w:r>
      <w:r w:rsidR="003E6A4F">
        <w:rPr>
          <w:sz w:val="24"/>
          <w:szCs w:val="24"/>
        </w:rPr>
        <w:t xml:space="preserve"> 2009</w:t>
      </w:r>
      <w:r w:rsidR="009402D2">
        <w:rPr>
          <w:sz w:val="24"/>
          <w:szCs w:val="24"/>
        </w:rPr>
        <w:t xml:space="preserve"> known as the “Great Recession”</w:t>
      </w:r>
      <w:r w:rsidR="003E6A4F">
        <w:rPr>
          <w:sz w:val="24"/>
          <w:szCs w:val="24"/>
        </w:rPr>
        <w:t xml:space="preserve">. </w:t>
      </w:r>
      <w:r w:rsidR="00BF5B8B">
        <w:rPr>
          <w:sz w:val="24"/>
          <w:szCs w:val="24"/>
        </w:rPr>
        <w:t>More s</w:t>
      </w:r>
      <w:r w:rsidR="00932015">
        <w:rPr>
          <w:sz w:val="24"/>
          <w:szCs w:val="24"/>
        </w:rPr>
        <w:t>pecificall</w:t>
      </w:r>
      <w:r w:rsidR="00B90BE7">
        <w:rPr>
          <w:sz w:val="24"/>
          <w:szCs w:val="24"/>
        </w:rPr>
        <w:t>y,</w:t>
      </w:r>
      <w:r w:rsidR="00932015">
        <w:rPr>
          <w:sz w:val="24"/>
          <w:szCs w:val="24"/>
        </w:rPr>
        <w:t xml:space="preserve"> the housing market crash</w:t>
      </w:r>
      <w:r w:rsidR="00BF5B8B">
        <w:rPr>
          <w:sz w:val="24"/>
          <w:szCs w:val="24"/>
        </w:rPr>
        <w:t>ed</w:t>
      </w:r>
      <w:r w:rsidR="00B90BE7">
        <w:rPr>
          <w:sz w:val="24"/>
          <w:szCs w:val="24"/>
        </w:rPr>
        <w:t xml:space="preserve">, housing prices were on the rise, banks continued to lend, and </w:t>
      </w:r>
      <w:r w:rsidR="00B76F6B">
        <w:rPr>
          <w:sz w:val="24"/>
          <w:szCs w:val="24"/>
        </w:rPr>
        <w:t xml:space="preserve">people could not </w:t>
      </w:r>
      <w:r w:rsidR="00BF5B8B">
        <w:rPr>
          <w:sz w:val="24"/>
          <w:szCs w:val="24"/>
        </w:rPr>
        <w:t xml:space="preserve">afford to </w:t>
      </w:r>
      <w:r w:rsidR="00B76F6B">
        <w:rPr>
          <w:sz w:val="24"/>
          <w:szCs w:val="24"/>
        </w:rPr>
        <w:t xml:space="preserve">make their payments. </w:t>
      </w:r>
      <w:r w:rsidR="002649D4">
        <w:rPr>
          <w:sz w:val="24"/>
          <w:szCs w:val="24"/>
        </w:rPr>
        <w:t xml:space="preserve">We found the top few states impacted by this were </w:t>
      </w:r>
      <w:r w:rsidR="000009A7">
        <w:rPr>
          <w:sz w:val="24"/>
          <w:szCs w:val="24"/>
        </w:rPr>
        <w:t xml:space="preserve">Georgia, Florida, Illinois, California, and Michigan. </w:t>
      </w:r>
    </w:p>
    <w:p w14:paraId="348227BD" w14:textId="740F43E7" w:rsidR="006B4551" w:rsidRDefault="00DD1FAD" w:rsidP="00A60F31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highest cost of failures happened in Texas with over 10 million. This was from Texas </w:t>
      </w:r>
      <w:r w:rsidR="00EA111A">
        <w:rPr>
          <w:sz w:val="24"/>
          <w:szCs w:val="24"/>
        </w:rPr>
        <w:t>making most of their investments in the oil industry</w:t>
      </w:r>
      <w:r w:rsidR="00B54511">
        <w:rPr>
          <w:sz w:val="24"/>
          <w:szCs w:val="24"/>
        </w:rPr>
        <w:t>.</w:t>
      </w:r>
      <w:r w:rsidR="00821540">
        <w:rPr>
          <w:sz w:val="24"/>
          <w:szCs w:val="24"/>
        </w:rPr>
        <w:t xml:space="preserve"> </w:t>
      </w:r>
      <w:r w:rsidR="005D67A3">
        <w:rPr>
          <w:sz w:val="24"/>
          <w:szCs w:val="24"/>
        </w:rPr>
        <w:t xml:space="preserve">California followed losing </w:t>
      </w:r>
      <w:r w:rsidR="003F69EC">
        <w:rPr>
          <w:sz w:val="24"/>
          <w:szCs w:val="24"/>
        </w:rPr>
        <w:t xml:space="preserve">about </w:t>
      </w:r>
      <w:r w:rsidR="003F59B6">
        <w:rPr>
          <w:sz w:val="24"/>
          <w:szCs w:val="24"/>
        </w:rPr>
        <w:t>1.5 million</w:t>
      </w:r>
      <w:r w:rsidR="00066883">
        <w:rPr>
          <w:sz w:val="24"/>
          <w:szCs w:val="24"/>
        </w:rPr>
        <w:t xml:space="preserve">, then Louisiana, Florida, and Arizona. </w:t>
      </w:r>
      <w:r w:rsidR="00B97B9D">
        <w:rPr>
          <w:sz w:val="24"/>
          <w:szCs w:val="24"/>
        </w:rPr>
        <w:t>The highest b</w:t>
      </w:r>
      <w:r w:rsidR="00271FD6">
        <w:rPr>
          <w:sz w:val="24"/>
          <w:szCs w:val="24"/>
        </w:rPr>
        <w:t xml:space="preserve">ank failures occurred heavily in the south </w:t>
      </w:r>
      <w:r w:rsidR="00C25E90">
        <w:rPr>
          <w:sz w:val="24"/>
          <w:szCs w:val="24"/>
        </w:rPr>
        <w:t>versus</w:t>
      </w:r>
      <w:r w:rsidR="00271FD6">
        <w:rPr>
          <w:sz w:val="24"/>
          <w:szCs w:val="24"/>
        </w:rPr>
        <w:t xml:space="preserve"> the north. </w:t>
      </w:r>
      <w:r w:rsidR="00745CC7">
        <w:rPr>
          <w:sz w:val="24"/>
          <w:szCs w:val="24"/>
        </w:rPr>
        <w:t xml:space="preserve">We were able to use this data to </w:t>
      </w:r>
      <w:r w:rsidR="002357B2">
        <w:rPr>
          <w:sz w:val="24"/>
          <w:szCs w:val="24"/>
        </w:rPr>
        <w:t xml:space="preserve">determine that during </w:t>
      </w:r>
      <w:r w:rsidR="00AA2F28">
        <w:rPr>
          <w:sz w:val="24"/>
          <w:szCs w:val="24"/>
        </w:rPr>
        <w:t>any given</w:t>
      </w:r>
      <w:r w:rsidR="002357B2">
        <w:rPr>
          <w:sz w:val="24"/>
          <w:szCs w:val="24"/>
        </w:rPr>
        <w:t xml:space="preserve"> year, when there is an increase of fifteen or more bank </w:t>
      </w:r>
      <w:r w:rsidR="00AA2F28">
        <w:rPr>
          <w:sz w:val="24"/>
          <w:szCs w:val="24"/>
        </w:rPr>
        <w:t>closures,</w:t>
      </w:r>
      <w:r w:rsidR="000D52CB">
        <w:rPr>
          <w:sz w:val="24"/>
          <w:szCs w:val="24"/>
        </w:rPr>
        <w:t xml:space="preserve"> it is highly likely that more bank closures will follow. </w:t>
      </w:r>
    </w:p>
    <w:p w14:paraId="6EA36ABE" w14:textId="77777777" w:rsidR="00A60F31" w:rsidRPr="00A60F31" w:rsidRDefault="00A60F31" w:rsidP="00A60F31">
      <w:pPr>
        <w:spacing w:line="360" w:lineRule="auto"/>
        <w:ind w:firstLine="360"/>
        <w:rPr>
          <w:sz w:val="24"/>
          <w:szCs w:val="24"/>
        </w:rPr>
      </w:pPr>
    </w:p>
    <w:p w14:paraId="6F2F716A" w14:textId="5C380CB5" w:rsidR="00B543F6" w:rsidRDefault="00B543F6" w:rsidP="00B543F6">
      <w:pPr>
        <w:pStyle w:val="NormalWeb"/>
        <w:ind w:left="567" w:hanging="567"/>
      </w:pPr>
      <w:r>
        <w:t xml:space="preserve">FDIC. (n.d.). </w:t>
      </w:r>
      <w:r>
        <w:rPr>
          <w:i/>
          <w:iCs/>
        </w:rPr>
        <w:t>Chapter 9 banking problems in the southwest - federal deposit insurance ...</w:t>
      </w:r>
      <w:r>
        <w:t xml:space="preserve"> www.fdic.gov. </w:t>
      </w:r>
      <w:r>
        <w:t xml:space="preserve">Retrieved April 6, 2023, from </w:t>
      </w:r>
      <w:hyperlink r:id="rId5" w:history="1">
        <w:r w:rsidR="00B6109A" w:rsidRPr="003C4CB8">
          <w:rPr>
            <w:rStyle w:val="Hyperlink"/>
          </w:rPr>
          <w:t>https://www.fdic.gov/bank/historical/history/291_336.pdf</w:t>
        </w:r>
      </w:hyperlink>
      <w:r>
        <w:t xml:space="preserve"> </w:t>
      </w:r>
    </w:p>
    <w:p w14:paraId="738C6ACE" w14:textId="7D7994D8" w:rsidR="00C074FA" w:rsidRDefault="00B6109A" w:rsidP="00A60F31">
      <w:pPr>
        <w:pStyle w:val="NormalWeb"/>
        <w:ind w:left="567" w:hanging="567"/>
      </w:pPr>
      <w:r>
        <w:t xml:space="preserve">FDIC. (n.d.). </w:t>
      </w:r>
      <w:r>
        <w:rPr>
          <w:i/>
          <w:iCs/>
        </w:rPr>
        <w:t>Crisis and response: An FDIC history, 2008–2013</w:t>
      </w:r>
      <w:r>
        <w:t xml:space="preserve">. Crisis and Response: An FDIC History, 2008 - 2013. Retrieved April 6, 2023, from </w:t>
      </w:r>
      <w:proofErr w:type="gramStart"/>
      <w:r>
        <w:t>https://www.fdic.gov/bank/historical/crisis/</w:t>
      </w:r>
      <w:proofErr w:type="gramEnd"/>
      <w:r>
        <w:t xml:space="preserve"> </w:t>
      </w:r>
    </w:p>
    <w:sectPr w:rsidR="00C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986"/>
    <w:multiLevelType w:val="multilevel"/>
    <w:tmpl w:val="02A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82618"/>
    <w:multiLevelType w:val="multilevel"/>
    <w:tmpl w:val="22F8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2F1E2C"/>
    <w:multiLevelType w:val="multilevel"/>
    <w:tmpl w:val="44E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749306">
    <w:abstractNumId w:val="0"/>
  </w:num>
  <w:num w:numId="2" w16cid:durableId="392192985">
    <w:abstractNumId w:val="2"/>
  </w:num>
  <w:num w:numId="3" w16cid:durableId="882985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FA"/>
    <w:rsid w:val="000009A7"/>
    <w:rsid w:val="000210F3"/>
    <w:rsid w:val="00033E30"/>
    <w:rsid w:val="00066883"/>
    <w:rsid w:val="000D52CB"/>
    <w:rsid w:val="00114329"/>
    <w:rsid w:val="001721E5"/>
    <w:rsid w:val="00185762"/>
    <w:rsid w:val="001D2FD7"/>
    <w:rsid w:val="001E5E85"/>
    <w:rsid w:val="00222F81"/>
    <w:rsid w:val="002357B2"/>
    <w:rsid w:val="00235842"/>
    <w:rsid w:val="002649D4"/>
    <w:rsid w:val="002669B5"/>
    <w:rsid w:val="00271FD6"/>
    <w:rsid w:val="0027214D"/>
    <w:rsid w:val="0029469B"/>
    <w:rsid w:val="002B0978"/>
    <w:rsid w:val="002B49AD"/>
    <w:rsid w:val="003577ED"/>
    <w:rsid w:val="00385791"/>
    <w:rsid w:val="003A2537"/>
    <w:rsid w:val="003B7B1B"/>
    <w:rsid w:val="003E6A4F"/>
    <w:rsid w:val="003F3AD0"/>
    <w:rsid w:val="003F59B6"/>
    <w:rsid w:val="003F69EC"/>
    <w:rsid w:val="00433CBA"/>
    <w:rsid w:val="00434ABA"/>
    <w:rsid w:val="004836E6"/>
    <w:rsid w:val="004B767F"/>
    <w:rsid w:val="005519D8"/>
    <w:rsid w:val="00595AD7"/>
    <w:rsid w:val="005D67A3"/>
    <w:rsid w:val="005E44CC"/>
    <w:rsid w:val="00646130"/>
    <w:rsid w:val="00667086"/>
    <w:rsid w:val="0069229B"/>
    <w:rsid w:val="006B4551"/>
    <w:rsid w:val="006D64DB"/>
    <w:rsid w:val="00732FAC"/>
    <w:rsid w:val="00733961"/>
    <w:rsid w:val="00745CC7"/>
    <w:rsid w:val="0075335F"/>
    <w:rsid w:val="007534AA"/>
    <w:rsid w:val="00797566"/>
    <w:rsid w:val="007C51A4"/>
    <w:rsid w:val="008000FF"/>
    <w:rsid w:val="00821540"/>
    <w:rsid w:val="00822BB8"/>
    <w:rsid w:val="008C08D7"/>
    <w:rsid w:val="00932015"/>
    <w:rsid w:val="009402D2"/>
    <w:rsid w:val="009730B3"/>
    <w:rsid w:val="009813BB"/>
    <w:rsid w:val="009A4525"/>
    <w:rsid w:val="009C28BB"/>
    <w:rsid w:val="00A60F31"/>
    <w:rsid w:val="00AA2F28"/>
    <w:rsid w:val="00AE1703"/>
    <w:rsid w:val="00B25742"/>
    <w:rsid w:val="00B543F6"/>
    <w:rsid w:val="00B54511"/>
    <w:rsid w:val="00B6109A"/>
    <w:rsid w:val="00B76F6B"/>
    <w:rsid w:val="00B90BE7"/>
    <w:rsid w:val="00B97B9D"/>
    <w:rsid w:val="00BC691A"/>
    <w:rsid w:val="00BF5B8B"/>
    <w:rsid w:val="00C014EA"/>
    <w:rsid w:val="00C074FA"/>
    <w:rsid w:val="00C14BB9"/>
    <w:rsid w:val="00C25E90"/>
    <w:rsid w:val="00C959FD"/>
    <w:rsid w:val="00CE7012"/>
    <w:rsid w:val="00D16A8F"/>
    <w:rsid w:val="00D21228"/>
    <w:rsid w:val="00D82719"/>
    <w:rsid w:val="00D96282"/>
    <w:rsid w:val="00DD1FAD"/>
    <w:rsid w:val="00DD2FFD"/>
    <w:rsid w:val="00DD6233"/>
    <w:rsid w:val="00DE4693"/>
    <w:rsid w:val="00E87967"/>
    <w:rsid w:val="00EA111A"/>
    <w:rsid w:val="00F82A4E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8E4"/>
  <w15:chartTrackingRefBased/>
  <w15:docId w15:val="{73872275-AC05-4055-933E-0997E940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FA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64DB"/>
    <w:pPr>
      <w:spacing w:after="0" w:line="240" w:lineRule="auto"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9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5AD7"/>
  </w:style>
  <w:style w:type="character" w:customStyle="1" w:styleId="eop">
    <w:name w:val="eop"/>
    <w:basedOn w:val="DefaultParagraphFont"/>
    <w:rsid w:val="0059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dic.gov/bank/historical/history/291_33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Links>
    <vt:vector size="6" baseType="variant">
      <vt:variant>
        <vt:i4>39</vt:i4>
      </vt:variant>
      <vt:variant>
        <vt:i4>0</vt:i4>
      </vt:variant>
      <vt:variant>
        <vt:i4>0</vt:i4>
      </vt:variant>
      <vt:variant>
        <vt:i4>5</vt:i4>
      </vt:variant>
      <vt:variant>
        <vt:lpwstr>https://www.fdic.gov/bank/historical/history/291_336.pdf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Howell</dc:creator>
  <cp:keywords/>
  <dc:description/>
  <cp:lastModifiedBy>Nicole Howell</cp:lastModifiedBy>
  <cp:revision>2</cp:revision>
  <dcterms:created xsi:type="dcterms:W3CDTF">2023-04-07T01:59:00Z</dcterms:created>
  <dcterms:modified xsi:type="dcterms:W3CDTF">2023-04-07T01:59:00Z</dcterms:modified>
</cp:coreProperties>
</file>