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AEBB42" w14:textId="77777777" w:rsidR="00D375C6" w:rsidRDefault="00000000">
      <w:r>
        <w:t>RESEARCH TERRITORY</w:t>
      </w:r>
    </w:p>
    <w:p w14:paraId="3452D295" w14:textId="77777777" w:rsidR="00D375C6" w:rsidRDefault="00000000">
      <w:pPr>
        <w:pStyle w:val="Heading1"/>
      </w:pPr>
      <w:bookmarkStart w:id="0" w:name="lots-in-commons"/>
      <w:r>
        <w:t>Lots in Commons</w:t>
      </w:r>
    </w:p>
    <w:p w14:paraId="68655E7D" w14:textId="77777777" w:rsidR="00D375C6" w:rsidRDefault="00000000">
      <w:r>
        <w:t>Presentation script</w:t>
      </w:r>
    </w:p>
    <w:p w14:paraId="13E6E2BD" w14:textId="77777777" w:rsidR="00D375C6" w:rsidRDefault="00000000">
      <w:pPr>
        <w:pStyle w:val="Heading2"/>
      </w:pPr>
      <w:bookmarkStart w:id="1" w:name="slide-1"/>
      <w:r>
        <w:t>SLIDE 1</w:t>
      </w:r>
    </w:p>
    <w:p w14:paraId="1B9533C5" w14:textId="77777777" w:rsidR="00D375C6" w:rsidRDefault="00000000">
      <w:pPr>
        <w:pStyle w:val="Heading3"/>
      </w:pPr>
      <w:bookmarkStart w:id="2" w:name="lots-in-commons-1"/>
      <w:r>
        <w:t>Lots in Commons</w:t>
      </w:r>
    </w:p>
    <w:p w14:paraId="45EFCE81" w14:textId="77777777" w:rsidR="00D375C6" w:rsidRDefault="00000000">
      <w:r>
        <w:rPr>
          <w:i/>
          <w:iCs/>
        </w:rPr>
        <w:t>Lots in Commons</w:t>
      </w:r>
      <w:r>
        <w:t xml:space="preserve"> is a working title for a research territory. “Lots” names parcels and abundance, but also division. “Commons” names the systems collective life relies upon—even when their governance is anything but common.</w:t>
      </w:r>
    </w:p>
    <w:p w14:paraId="1BD1FEB6" w14:textId="78638205" w:rsidR="00D375C6" w:rsidRDefault="00000000">
      <w:pPr>
        <w:pStyle w:val="BodyText"/>
      </w:pPr>
      <w:r>
        <w:t>The project begins with a</w:t>
      </w:r>
      <w:r w:rsidR="00A532CB">
        <w:t xml:space="preserve">n </w:t>
      </w:r>
      <w:r>
        <w:t xml:space="preserve">unease: uncertain futures become concrete long before they become certain. An expectation becomes a line on a map; soon the line becomes a contract, </w:t>
      </w:r>
      <w:r w:rsidR="00A532CB">
        <w:t>that contract becomes infrastructure</w:t>
      </w:r>
      <w:r>
        <w:t>,</w:t>
      </w:r>
      <w:r w:rsidR="00A532CB">
        <w:t xml:space="preserve"> before ultimately becoming</w:t>
      </w:r>
      <w:r>
        <w:t xml:space="preserve"> landscape</w:t>
      </w:r>
      <w:r w:rsidR="00A532CB">
        <w:t xml:space="preserve"> itself</w:t>
      </w:r>
      <w:r>
        <w:t xml:space="preserve">. I want to follow that </w:t>
      </w:r>
      <w:r w:rsidR="00A532CB">
        <w:t>solidification</w:t>
      </w:r>
      <w:r>
        <w:t xml:space="preserve"> and ask how it might remain negotiable.</w:t>
      </w:r>
      <w:r w:rsidR="00A532CB">
        <w:t xml:space="preserve"> The project shifts from the planetary to the institution, human to non-human, and then blurry resolutions down to a pixel.</w:t>
      </w:r>
    </w:p>
    <w:p w14:paraId="62254968" w14:textId="77777777" w:rsidR="00D375C6" w:rsidRDefault="00000000">
      <w:pPr>
        <w:pStyle w:val="Heading2"/>
      </w:pPr>
      <w:bookmarkStart w:id="3" w:name="slide-2"/>
      <w:bookmarkEnd w:id="1"/>
      <w:bookmarkEnd w:id="2"/>
      <w:r>
        <w:t>SLIDE 2</w:t>
      </w:r>
    </w:p>
    <w:p w14:paraId="4B7E0AF3" w14:textId="77777777" w:rsidR="00D375C6" w:rsidRDefault="00000000">
      <w:pPr>
        <w:pStyle w:val="Heading3"/>
      </w:pPr>
      <w:bookmarkStart w:id="4" w:name="X18bea9376a2eb3e5160ee78327aa19ebf937c8b"/>
      <w:r>
        <w:t>Forecasts are infrastructure before they are buildings</w:t>
      </w:r>
    </w:p>
    <w:p w14:paraId="3D76E2E5" w14:textId="371C30A7" w:rsidR="00D375C6" w:rsidRDefault="00000000">
      <w:r>
        <w:t>Infrastructure is usually treated as background. I</w:t>
      </w:r>
      <w:r w:rsidR="00A532CB">
        <w:t xml:space="preserve"> hope to</w:t>
      </w:r>
      <w:r>
        <w:t xml:space="preserve"> approach it as the medium where matter, </w:t>
      </w:r>
      <w:r w:rsidR="00A532CB">
        <w:t>markets</w:t>
      </w:r>
      <w:r>
        <w:t>, and expectation meet. A forecast does not simply report a possible future—it changes what appears investable, what receives permission, what is prepared to connect</w:t>
      </w:r>
      <w:r w:rsidR="00A532CB">
        <w:t xml:space="preserve"> to the de facto interface</w:t>
      </w:r>
      <w:r>
        <w:t>.</w:t>
      </w:r>
    </w:p>
    <w:p w14:paraId="14EB4422" w14:textId="53666BFD" w:rsidR="00D375C6" w:rsidRDefault="00000000">
      <w:pPr>
        <w:pStyle w:val="BodyText"/>
      </w:pPr>
      <w:r>
        <w:t xml:space="preserve">Keller Easterling’s </w:t>
      </w:r>
      <w:r>
        <w:rPr>
          <w:i/>
          <w:iCs/>
        </w:rPr>
        <w:t>Extrastatecraft</w:t>
      </w:r>
      <w:r>
        <w:t xml:space="preserve"> gives me a language for this spatial agency: markets </w:t>
      </w:r>
      <w:r w:rsidR="00A532CB">
        <w:t xml:space="preserve">inevitably </w:t>
      </w:r>
      <w:r>
        <w:t>price expected demand, but infrastructure space carries that expectation outward, settling into standards and repeatable formulas until a speculative future looks like an ordinary course of action.</w:t>
      </w:r>
    </w:p>
    <w:p w14:paraId="20A19722" w14:textId="09530869" w:rsidR="00D375C6" w:rsidRDefault="00000000">
      <w:pPr>
        <w:pStyle w:val="BodyText"/>
      </w:pPr>
      <w:r>
        <w:t xml:space="preserve">Paglen’s cable landing sites and the ERCOT map show the moment </w:t>
      </w:r>
      <w:r w:rsidR="00A532CB">
        <w:t xml:space="preserve">that </w:t>
      </w:r>
      <w:r>
        <w:t xml:space="preserve">abstraction touches ground. Prediction becomes infrastructural </w:t>
      </w:r>
      <w:r w:rsidR="00A532CB">
        <w:t xml:space="preserve">and tracing </w:t>
      </w:r>
      <w:proofErr w:type="gramStart"/>
      <w:r w:rsidR="00A532CB">
        <w:t>this infrastructures</w:t>
      </w:r>
      <w:proofErr w:type="gramEnd"/>
      <w:r w:rsidR="00A532CB">
        <w:t xml:space="preserve"> begins to reveal the institutions and powers that dictate it.</w:t>
      </w:r>
    </w:p>
    <w:p w14:paraId="722FB177" w14:textId="77777777" w:rsidR="00D375C6" w:rsidRDefault="00000000">
      <w:pPr>
        <w:pStyle w:val="Heading2"/>
      </w:pPr>
      <w:bookmarkStart w:id="5" w:name="slide-3"/>
      <w:bookmarkEnd w:id="3"/>
      <w:bookmarkEnd w:id="4"/>
      <w:r>
        <w:t>SLIDE 3</w:t>
      </w:r>
    </w:p>
    <w:p w14:paraId="2AB81253" w14:textId="77777777" w:rsidR="00D375C6" w:rsidRDefault="00000000">
      <w:pPr>
        <w:pStyle w:val="Heading3"/>
      </w:pPr>
      <w:bookmarkStart w:id="6" w:name="X588ae91dd0f0e322518eb4b175787b28e608eac"/>
      <w:r>
        <w:t>Prediction becomes material through translation</w:t>
      </w:r>
    </w:p>
    <w:p w14:paraId="72A3C9CC" w14:textId="65D1DC65" w:rsidR="00D375C6" w:rsidRDefault="00000000">
      <w:r>
        <w:t xml:space="preserve">The question </w:t>
      </w:r>
      <w:r w:rsidR="00A532CB">
        <w:t>then becomes</w:t>
      </w:r>
      <w:r>
        <w:t>: how do institutions translate uncertain futures into sites and material commitments?</w:t>
      </w:r>
    </w:p>
    <w:p w14:paraId="10819A89" w14:textId="0DDEC5A8" w:rsidR="00D375C6" w:rsidRDefault="00000000">
      <w:pPr>
        <w:pStyle w:val="BodyText"/>
      </w:pPr>
      <w:r>
        <w:t xml:space="preserve">I am </w:t>
      </w:r>
      <w:r w:rsidR="00A532CB">
        <w:t xml:space="preserve">loosely </w:t>
      </w:r>
      <w:r>
        <w:t xml:space="preserve">following four interacting translations. A projection becomes an obligation. Ground becomes value. Terrain becomes a score. A resource </w:t>
      </w:r>
      <w:r w:rsidR="00A532CB">
        <w:t>precludes extraction</w:t>
      </w:r>
      <w:r>
        <w:t xml:space="preserve">. These are not </w:t>
      </w:r>
      <w:r>
        <w:lastRenderedPageBreak/>
        <w:t>neutral stages</w:t>
      </w:r>
      <w:r w:rsidR="00A532CB">
        <w:t>, nor can they easily be defined</w:t>
      </w:r>
      <w:r>
        <w:t>; they reinforce one another. Demand justifies capacity. Promised capacity alters land value. Value directs selection, and the selected site produces a new story of demand that appears to confirm where the cycle began.</w:t>
      </w:r>
    </w:p>
    <w:p w14:paraId="5712442C" w14:textId="4E602DA7" w:rsidR="00D375C6" w:rsidRDefault="00000000">
      <w:pPr>
        <w:pStyle w:val="BodyText"/>
      </w:pPr>
      <w:r>
        <w:t xml:space="preserve">At every turn, </w:t>
      </w:r>
      <w:r w:rsidR="00A532CB">
        <w:t>power</w:t>
      </w:r>
      <w:r>
        <w:t xml:space="preserve"> is redistributed. Who produces the forecast, who acts on it, who absorbs its consequences? </w:t>
      </w:r>
    </w:p>
    <w:p w14:paraId="72CE33FB" w14:textId="77777777" w:rsidR="00D375C6" w:rsidRDefault="00000000">
      <w:pPr>
        <w:pStyle w:val="Heading2"/>
      </w:pPr>
      <w:bookmarkStart w:id="7" w:name="slide-4"/>
      <w:bookmarkEnd w:id="5"/>
      <w:bookmarkEnd w:id="6"/>
      <w:r>
        <w:t>SLIDE 4</w:t>
      </w:r>
    </w:p>
    <w:p w14:paraId="6BAD28E1" w14:textId="125B1BA7" w:rsidR="00D375C6" w:rsidRDefault="00000000">
      <w:pPr>
        <w:pStyle w:val="Heading3"/>
      </w:pPr>
      <w:bookmarkStart w:id="8" w:name="north-texas-is-an-aperture-not-a-model"/>
      <w:r>
        <w:t xml:space="preserve">North Texas </w:t>
      </w:r>
      <w:r w:rsidR="00E80D00">
        <w:t>as</w:t>
      </w:r>
      <w:r>
        <w:t xml:space="preserve"> aperture, not a model</w:t>
      </w:r>
      <w:r w:rsidR="00E80D00">
        <w:t xml:space="preserve"> or site (yet)</w:t>
      </w:r>
    </w:p>
    <w:p w14:paraId="6D0633F3" w14:textId="1C243F06" w:rsidR="00D375C6" w:rsidRDefault="00000000">
      <w:r>
        <w:t>North Texas remains useful as an aperture rather than a universal case. At its suburban–rural edge, competing futures for the same ground become unusually visible—a field can be read as agriculture, subdivision, logistics territory, or computational capacity.</w:t>
      </w:r>
      <w:r w:rsidR="00E80D00">
        <w:t xml:space="preserve"> This siting is unique in within a state that has its own electrical grid, is leading in terms of population growth and construction, and is projected to pass Northern Virginia in the number of data centers by 2030. A litany of forces </w:t>
      </w:r>
      <w:proofErr w:type="gramStart"/>
      <w:r w:rsidR="00E80D00">
        <w:t>forge</w:t>
      </w:r>
      <w:proofErr w:type="gramEnd"/>
      <w:r w:rsidR="00E80D00">
        <w:t xml:space="preserve"> a lens to, ironically, begin to forecast patterns in other areas.</w:t>
      </w:r>
    </w:p>
    <w:p w14:paraId="2203E6FE" w14:textId="2029AC6B" w:rsidR="00D375C6" w:rsidRDefault="00000000">
      <w:pPr>
        <w:pStyle w:val="BodyText"/>
      </w:pPr>
      <w:r>
        <w:t xml:space="preserve">The question becomes one of sensing. Administrative maps register parcels with precision while flattening what moves beneath and across them. </w:t>
      </w:r>
      <w:r w:rsidR="00462984">
        <w:t>Anthony Acciavatti’s Grounded Growth treats groundwater as urban form rather than hidden resource. The wearable apparatus brings the sensing body into the frame. And together, they ask what becomes perceptible when measurement is situated, and then whose exposure counts as evidence</w:t>
      </w:r>
    </w:p>
    <w:p w14:paraId="0AC15F8A" w14:textId="77777777" w:rsidR="00D375C6" w:rsidRDefault="00000000">
      <w:pPr>
        <w:pStyle w:val="Heading2"/>
      </w:pPr>
      <w:bookmarkStart w:id="9" w:name="slide-5"/>
      <w:bookmarkEnd w:id="7"/>
      <w:bookmarkEnd w:id="8"/>
      <w:r>
        <w:t>SLIDE 5</w:t>
      </w:r>
    </w:p>
    <w:p w14:paraId="377AECA0" w14:textId="77777777" w:rsidR="00D375C6" w:rsidRDefault="00000000">
      <w:pPr>
        <w:pStyle w:val="Heading3"/>
      </w:pPr>
      <w:bookmarkStart w:id="10" w:name="X2a6f074139b0127a160d9bc59d71b1234aab4eb"/>
      <w:r>
        <w:t>A forecast is only one way of knowing a future</w:t>
      </w:r>
    </w:p>
    <w:p w14:paraId="01D49883" w14:textId="50A1C297" w:rsidR="00D375C6" w:rsidRDefault="00000000">
      <w:r>
        <w:t xml:space="preserve">The contrast is not rational computation versus irrational ecology. It is a difference in attention. A forecast isolates variables, prices risk, searches for what can be repeated. Haraway asks us to stay with damaged entanglements instead of </w:t>
      </w:r>
      <w:r w:rsidR="00462984">
        <w:t xml:space="preserve">fully </w:t>
      </w:r>
      <w:r>
        <w:t>resolving them. Tsing follows relations that resist scalability and nevertheless sustain life.</w:t>
      </w:r>
    </w:p>
    <w:p w14:paraId="53EB79A9" w14:textId="7AFFCC3A" w:rsidR="00D375C6" w:rsidRDefault="00462984">
      <w:pPr>
        <w:pStyle w:val="BodyText"/>
      </w:pPr>
      <w:r>
        <w:t>Perhaps</w:t>
      </w:r>
      <w:r w:rsidR="00000000">
        <w:t xml:space="preserve"> this a modern alchemy</w:t>
      </w:r>
      <w:r>
        <w:t xml:space="preserve">- </w:t>
      </w:r>
      <w:r w:rsidR="00000000">
        <w:t xml:space="preserve">not mysticism, but a willingness to work obliquely with transformation, holding a process without demanding that it yield a clean, repeatable output. A forecast wants the mushroom to become a model. </w:t>
      </w:r>
      <w:r>
        <w:t xml:space="preserve">For </w:t>
      </w:r>
      <w:r w:rsidR="00000000">
        <w:t>Tsing</w:t>
      </w:r>
      <w:r>
        <w:t xml:space="preserve">, the </w:t>
      </w:r>
      <w:r w:rsidR="00000000">
        <w:t>mushroom refuses—and stays</w:t>
      </w:r>
      <w:r>
        <w:t xml:space="preserve"> </w:t>
      </w:r>
      <w:r w:rsidR="00000000">
        <w:t xml:space="preserve">entangled, unrepeatable, </w:t>
      </w:r>
      <w:r>
        <w:t>and alive.</w:t>
      </w:r>
    </w:p>
    <w:p w14:paraId="0BA71859" w14:textId="0AB9255E" w:rsidR="00D375C6" w:rsidRDefault="00000000">
      <w:pPr>
        <w:pStyle w:val="BodyText"/>
      </w:pPr>
      <w:r>
        <w:t xml:space="preserve">The same refusal will </w:t>
      </w:r>
      <w:r w:rsidR="00462984">
        <w:t>bubble up</w:t>
      </w:r>
      <w:r>
        <w:t xml:space="preserve"> at a </w:t>
      </w:r>
      <w:proofErr w:type="gramStart"/>
      <w:r>
        <w:t>different scale</w:t>
      </w:r>
      <w:r w:rsidR="00462984">
        <w:t>s</w:t>
      </w:r>
      <w:proofErr w:type="gramEnd"/>
      <w:r>
        <w:t xml:space="preserve"> in </w:t>
      </w:r>
      <w:r w:rsidR="00462984">
        <w:t>different</w:t>
      </w:r>
      <w:r>
        <w:t xml:space="preserve"> moment</w:t>
      </w:r>
      <w:r w:rsidR="00462984">
        <w:t>s</w:t>
      </w:r>
      <w:r>
        <w:t>: what happens when a system can no longer tell its own residue from the ground it started with.</w:t>
      </w:r>
    </w:p>
    <w:p w14:paraId="245DD18B" w14:textId="77777777" w:rsidR="00D375C6" w:rsidRDefault="00000000">
      <w:pPr>
        <w:pStyle w:val="Heading2"/>
      </w:pPr>
      <w:bookmarkStart w:id="11" w:name="slide-6"/>
      <w:bookmarkEnd w:id="9"/>
      <w:bookmarkEnd w:id="10"/>
      <w:r>
        <w:lastRenderedPageBreak/>
        <w:t>SLIDE 6</w:t>
      </w:r>
    </w:p>
    <w:p w14:paraId="3E3C98B7" w14:textId="77777777" w:rsidR="00D375C6" w:rsidRDefault="00000000">
      <w:pPr>
        <w:pStyle w:val="Heading3"/>
      </w:pPr>
      <w:bookmarkStart w:id="12" w:name="Xafdb1106b282163b8c6ed60f98e0c076337fee5"/>
      <w:r>
        <w:t>When models train on models, human data becomes scarce ground truth</w:t>
      </w:r>
    </w:p>
    <w:p w14:paraId="35BB6871" w14:textId="68FC7044" w:rsidR="00D375C6" w:rsidRDefault="00000000">
      <w:r>
        <w:t>The same question—</w:t>
      </w:r>
      <w:r w:rsidR="00462984">
        <w:t>when</w:t>
      </w:r>
      <w:r>
        <w:t xml:space="preserve"> a system can no longer distinguish from its own residue—returns in AI training. Human expression becomes raw material; generated output circulates back into </w:t>
      </w:r>
      <w:r w:rsidR="00462984">
        <w:t>training models</w:t>
      </w:r>
      <w:r>
        <w:t>. Institutions then decide which human traces still qualify as provenance</w:t>
      </w:r>
      <w:r w:rsidR="00462984">
        <w:t>.</w:t>
      </w:r>
    </w:p>
    <w:p w14:paraId="71A28739" w14:textId="19321C5A" w:rsidR="00D375C6" w:rsidRDefault="00462984">
      <w:pPr>
        <w:pStyle w:val="BodyText"/>
      </w:pPr>
      <w:r>
        <w:t>Current research</w:t>
      </w:r>
      <w:r w:rsidR="00000000">
        <w:t xml:space="preserve"> on model collapse shows that indiscriminate recursion can narrow a distribution until its edges disappear. Collapse is not inevitable when original data is retained and mixtures are curated—but that makes the politics sharper: who controls the mixture, who defines the real? Nora Khan’s </w:t>
      </w:r>
      <w:r w:rsidR="00000000">
        <w:rPr>
          <w:i/>
          <w:iCs/>
        </w:rPr>
        <w:t>HOLO 3</w:t>
      </w:r>
      <w:r w:rsidR="00000000">
        <w:t xml:space="preserve"> names partial knowing and explainability as limits, not defects prediction should eventually correct.</w:t>
      </w:r>
    </w:p>
    <w:p w14:paraId="032A7D30" w14:textId="5672B638" w:rsidR="00D375C6" w:rsidRDefault="00462984">
      <w:pPr>
        <w:pStyle w:val="BodyText"/>
      </w:pPr>
      <w:r>
        <w:rPr>
          <w:i/>
          <w:iCs/>
        </w:rPr>
        <w:t xml:space="preserve">Kate Crawford’s and Trevor Paglen’s </w:t>
      </w:r>
      <w:r w:rsidR="00000000">
        <w:rPr>
          <w:i/>
          <w:iCs/>
        </w:rPr>
        <w:t>ImageNet Roulette</w:t>
      </w:r>
      <w:r w:rsidR="00000000">
        <w:t xml:space="preserve"> </w:t>
      </w:r>
      <w:proofErr w:type="gramStart"/>
      <w:r w:rsidR="00000000">
        <w:t>reminds</w:t>
      </w:r>
      <w:proofErr w:type="gramEnd"/>
      <w:r w:rsidR="00000000">
        <w:t xml:space="preserve"> us that legibility is not automatically liberating. Recognition can misname and injure. Agency may mean correction; sometimes, following Khan, it </w:t>
      </w:r>
      <w:r w:rsidR="009E0017">
        <w:t xml:space="preserve">also </w:t>
      </w:r>
      <w:r w:rsidR="00000000">
        <w:t>means the right to remain unread.</w:t>
      </w:r>
    </w:p>
    <w:p w14:paraId="10114812" w14:textId="77777777" w:rsidR="00D375C6" w:rsidRDefault="00000000">
      <w:pPr>
        <w:pStyle w:val="Heading2"/>
      </w:pPr>
      <w:bookmarkStart w:id="13" w:name="slide-7"/>
      <w:bookmarkEnd w:id="11"/>
      <w:bookmarkEnd w:id="12"/>
      <w:r>
        <w:t>SLIDE 7</w:t>
      </w:r>
    </w:p>
    <w:p w14:paraId="0206A5C6" w14:textId="77777777" w:rsidR="00D375C6" w:rsidRDefault="00000000">
      <w:pPr>
        <w:pStyle w:val="Heading3"/>
      </w:pPr>
      <w:bookmarkStart w:id="14" w:name="X4276152b322b9272b119878e5f096e063e548eb"/>
      <w:r>
        <w:t>What an image fails to resolve may still be evidence</w:t>
      </w:r>
    </w:p>
    <w:p w14:paraId="54124F21" w14:textId="77777777" w:rsidR="00D375C6" w:rsidRDefault="00000000">
      <w:r>
        <w:t>Representation is not downstream from these systems—images participate in decisions about the world. Jussi Parikka extends the operational image toward pictures made by and for systems to act, often without a human viewer. Sensing stretches beyond the visible, making certain relations computable while others fall away.</w:t>
      </w:r>
    </w:p>
    <w:p w14:paraId="5D7299A7" w14:textId="77777777" w:rsidR="00D375C6" w:rsidRDefault="00000000">
      <w:pPr>
        <w:pStyle w:val="BodyText"/>
      </w:pPr>
      <w:r>
        <w:t xml:space="preserve">Hito Steyerl’s poor image introduces a different politics: low resolution is not only loss, it records the pressure of circulation and value. Omar Mismar lets corruption break across the image’s surface. Forensic Architecture’s </w:t>
      </w:r>
      <w:r>
        <w:rPr>
          <w:i/>
          <w:iCs/>
        </w:rPr>
        <w:t>Cloud Studies</w:t>
      </w:r>
      <w:r>
        <w:t xml:space="preserve"> works in the other direction, gathering atmospheric traces until violence becomes perceptible.</w:t>
      </w:r>
    </w:p>
    <w:p w14:paraId="107D8565" w14:textId="77777777" w:rsidR="00D375C6" w:rsidRDefault="00000000">
      <w:pPr>
        <w:pStyle w:val="BodyText"/>
      </w:pPr>
      <w:r>
        <w:t>Glitch should not be romanticized, but it can reveal the seam where signal becomes decision. Can remote sensing be reclaimed as situated witnessing rather than extraction?</w:t>
      </w:r>
    </w:p>
    <w:p w14:paraId="3A73327B" w14:textId="77777777" w:rsidR="00D375C6" w:rsidRDefault="00000000">
      <w:pPr>
        <w:pStyle w:val="Heading2"/>
      </w:pPr>
      <w:bookmarkStart w:id="15" w:name="slide-8"/>
      <w:bookmarkEnd w:id="13"/>
      <w:bookmarkEnd w:id="14"/>
      <w:r>
        <w:t>SLIDE 8</w:t>
      </w:r>
    </w:p>
    <w:p w14:paraId="70647AC3" w14:textId="77777777" w:rsidR="00D375C6" w:rsidRDefault="00000000">
      <w:pPr>
        <w:pStyle w:val="Heading3"/>
      </w:pPr>
      <w:bookmarkStart w:id="16" w:name="X0c72a099b298bbeb5c70c498bcbde1438deb1fc"/>
      <w:r>
        <w:t>Composition becomes a method of investigation</w:t>
      </w:r>
    </w:p>
    <w:p w14:paraId="59C68220" w14:textId="1E8914D5" w:rsidR="00D375C6" w:rsidRDefault="00000000">
      <w:r>
        <w:t>The project takes form less as an atlas than as a composition. A drawing traces what an image cannot hold. A physical object gives a translation weight and duration—something you could, in principle, still hold after the forecast that produced it has been forgotten. A</w:t>
      </w:r>
      <w:r w:rsidR="009E0017">
        <w:t xml:space="preserve">n interface </w:t>
      </w:r>
      <w:r>
        <w:t>lets that object be re-read against the site it came from, so the two accounts can be caught disagreeing with each other in real time.</w:t>
      </w:r>
    </w:p>
    <w:p w14:paraId="2F7AE60F" w14:textId="205885DE" w:rsidR="00D375C6" w:rsidRDefault="00000000">
      <w:pPr>
        <w:pStyle w:val="BodyText"/>
      </w:pPr>
      <w:r>
        <w:t xml:space="preserve">Marina Otero Verzier’s </w:t>
      </w:r>
      <w:r>
        <w:rPr>
          <w:i/>
          <w:iCs/>
        </w:rPr>
        <w:t>Computational Compost</w:t>
      </w:r>
      <w:r>
        <w:t xml:space="preserve"> </w:t>
      </w:r>
      <w:r w:rsidR="009E0017">
        <w:t>does not simply represent infrastructure. It makes computation encounter metabolism and living matter within one experiment. The argument then emerges from that contact.</w:t>
      </w:r>
    </w:p>
    <w:p w14:paraId="18D89E86" w14:textId="2A4F660B" w:rsidR="00D375C6" w:rsidRDefault="00000000">
      <w:pPr>
        <w:pStyle w:val="BodyText"/>
      </w:pPr>
      <w:r>
        <w:lastRenderedPageBreak/>
        <w:t xml:space="preserve">I </w:t>
      </w:r>
      <w:r w:rsidR="009E0017">
        <w:t>hope</w:t>
      </w:r>
      <w:r>
        <w:t xml:space="preserve"> to work the same way</w:t>
      </w:r>
      <w:r w:rsidR="009E0017">
        <w:t>, letting the research change as it moves across screen, drawing, object</w:t>
      </w:r>
      <w:r w:rsidR="00FD4F70">
        <w:t>, and interaction. Then perhaps, the composition becomes the place where evidence is staged, propositions tested, and new questions allowed to surface.</w:t>
      </w:r>
    </w:p>
    <w:p w14:paraId="494642AF" w14:textId="77777777" w:rsidR="00D375C6" w:rsidRDefault="00000000">
      <w:pPr>
        <w:pStyle w:val="Heading2"/>
      </w:pPr>
      <w:bookmarkStart w:id="17" w:name="slide-9"/>
      <w:bookmarkEnd w:id="15"/>
      <w:bookmarkEnd w:id="16"/>
      <w:r>
        <w:t>SLIDE 9</w:t>
      </w:r>
    </w:p>
    <w:p w14:paraId="277922C5" w14:textId="77777777" w:rsidR="00D375C6" w:rsidRDefault="00000000">
      <w:pPr>
        <w:pStyle w:val="Heading3"/>
      </w:pPr>
      <w:bookmarkStart w:id="18" w:name="open-proposition"/>
      <w:r>
        <w:t>Open proposition</w:t>
      </w:r>
    </w:p>
    <w:p w14:paraId="6D37A852" w14:textId="560D59D7" w:rsidR="00D375C6" w:rsidRDefault="00FD4F70">
      <w:r>
        <w:t>Ultimately, t</w:t>
      </w:r>
      <w:r w:rsidR="00000000">
        <w:t>h</w:t>
      </w:r>
      <w:r>
        <w:t>is</w:t>
      </w:r>
      <w:r w:rsidR="00000000">
        <w:t xml:space="preserve"> project does not propose that every forecast should stop, or that every system can remain reversible. It</w:t>
      </w:r>
      <w:r>
        <w:t xml:space="preserve"> hopes</w:t>
      </w:r>
      <w:r w:rsidR="00000000">
        <w:t xml:space="preserve"> asks what happens </w:t>
      </w:r>
      <w:proofErr w:type="gramStart"/>
      <w:r w:rsidR="00000000">
        <w:t>at the moment</w:t>
      </w:r>
      <w:proofErr w:type="gramEnd"/>
      <w:r w:rsidR="00000000">
        <w:t xml:space="preserve"> uncertainty </w:t>
      </w:r>
      <w:r>
        <w:t>solidifies</w:t>
      </w:r>
      <w:r w:rsidR="00000000">
        <w:t xml:space="preserve"> into authority—and whether representation can reopen that moment</w:t>
      </w:r>
      <w:r>
        <w:t xml:space="preserve"> for investigation</w:t>
      </w:r>
    </w:p>
    <w:p w14:paraId="0B4139F1" w14:textId="77777777" w:rsidR="00D375C6" w:rsidRDefault="00000000">
      <w:pPr>
        <w:pStyle w:val="BodyText"/>
      </w:pPr>
      <w:r>
        <w:t xml:space="preserve">The working proposition is therefore: </w:t>
      </w:r>
      <w:r w:rsidRPr="00FD4F70">
        <w:rPr>
          <w:b/>
          <w:bCs/>
        </w:rPr>
        <w:t>how might representation keep a future contestable before prediction becomes commitment?</w:t>
      </w:r>
      <w:bookmarkEnd w:id="0"/>
      <w:bookmarkEnd w:id="17"/>
      <w:bookmarkEnd w:id="18"/>
    </w:p>
    <w:sectPr w:rsidR="00D375C6" w:rsidSect="000346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6F98F9" w14:textId="77777777" w:rsidR="00531111" w:rsidRDefault="00531111">
      <w:pPr>
        <w:spacing w:after="0" w:line="240" w:lineRule="auto"/>
      </w:pPr>
      <w:r>
        <w:separator/>
      </w:r>
    </w:p>
  </w:endnote>
  <w:endnote w:type="continuationSeparator" w:id="0">
    <w:p w14:paraId="18494268" w14:textId="77777777" w:rsidR="00531111" w:rsidRDefault="00531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FEB69" w14:textId="77777777" w:rsidR="00D375C6" w:rsidRDefault="00000000">
    <w:pPr>
      <w:pStyle w:val="Footer"/>
      <w:jc w:val="right"/>
    </w:pPr>
    <w:r>
      <w:rPr>
        <w:color w:val="6C6C65"/>
        <w:sz w:val="16"/>
      </w:rPr>
      <w:fldChar w:fldCharType="begin"/>
    </w:r>
    <w:r>
      <w:rPr>
        <w:color w:val="6C6C65"/>
        <w:sz w:val="16"/>
      </w:rPr>
      <w:instrText>PAGE</w:instrText>
    </w:r>
    <w:r>
      <w:rPr>
        <w:color w:val="6C6C65"/>
        <w:sz w:val="16"/>
      </w:rPr>
      <w:fldChar w:fldCharType="separate"/>
    </w:r>
    <w:r>
      <w:rPr>
        <w:color w:val="6C6C65"/>
        <w:sz w:val="16"/>
      </w:rPr>
      <w:t>1</w:t>
    </w:r>
    <w:r>
      <w:rPr>
        <w:color w:val="6C6C6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6EDED3" w14:textId="77777777" w:rsidR="00531111" w:rsidRDefault="00531111">
      <w:pPr>
        <w:spacing w:after="0" w:line="240" w:lineRule="auto"/>
      </w:pPr>
      <w:r>
        <w:separator/>
      </w:r>
    </w:p>
  </w:footnote>
  <w:footnote w:type="continuationSeparator" w:id="0">
    <w:p w14:paraId="223129AC" w14:textId="77777777" w:rsidR="00531111" w:rsidRDefault="00531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F6B0C" w14:textId="77777777" w:rsidR="00D375C6" w:rsidRDefault="00000000">
    <w:pPr>
      <w:pStyle w:val="Header"/>
      <w:jc w:val="right"/>
    </w:pPr>
    <w:r>
      <w:rPr>
        <w:color w:val="6C6C65"/>
        <w:sz w:val="16"/>
      </w:rPr>
      <w:t xml:space="preserve">LOTS IN </w:t>
    </w:r>
    <w:proofErr w:type="gramStart"/>
    <w:r>
      <w:rPr>
        <w:color w:val="6C6C65"/>
        <w:sz w:val="16"/>
      </w:rPr>
      <w:t>COMMONS  ·</w:t>
    </w:r>
    <w:proofErr w:type="gramEnd"/>
    <w:r>
      <w:rPr>
        <w:color w:val="6C6C65"/>
        <w:sz w:val="16"/>
      </w:rPr>
      <w:t xml:space="preserve">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63A66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2693215">
    <w:abstractNumId w:val="8"/>
  </w:num>
  <w:num w:numId="2" w16cid:durableId="1711035517">
    <w:abstractNumId w:val="6"/>
  </w:num>
  <w:num w:numId="3" w16cid:durableId="410350504">
    <w:abstractNumId w:val="5"/>
  </w:num>
  <w:num w:numId="4" w16cid:durableId="295918946">
    <w:abstractNumId w:val="4"/>
  </w:num>
  <w:num w:numId="5" w16cid:durableId="669677228">
    <w:abstractNumId w:val="7"/>
  </w:num>
  <w:num w:numId="6" w16cid:durableId="1238705481">
    <w:abstractNumId w:val="3"/>
  </w:num>
  <w:num w:numId="7" w16cid:durableId="1783449350">
    <w:abstractNumId w:val="2"/>
  </w:num>
  <w:num w:numId="8" w16cid:durableId="120809442">
    <w:abstractNumId w:val="1"/>
  </w:num>
  <w:num w:numId="9" w16cid:durableId="1873684206">
    <w:abstractNumId w:val="0"/>
  </w:num>
  <w:num w:numId="10" w16cid:durableId="3973684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6A9"/>
    <w:rsid w:val="00462984"/>
    <w:rsid w:val="00531111"/>
    <w:rsid w:val="009E0017"/>
    <w:rsid w:val="00A532CB"/>
    <w:rsid w:val="00AA1D8D"/>
    <w:rsid w:val="00B47730"/>
    <w:rsid w:val="00CB0664"/>
    <w:rsid w:val="00D375C6"/>
    <w:rsid w:val="00E80D00"/>
    <w:rsid w:val="00FC693F"/>
    <w:rsid w:val="00FD4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B8B7F"/>
  <w15:docId w15:val="{10381722-BA26-1E4A-BC91-4D8478E28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171714"/>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1151</Words>
  <Characters>6403</Characters>
  <Application>Microsoft Office Word</Application>
  <DocSecurity>0</DocSecurity>
  <Lines>110</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Liu</dc:creator>
  <cp:keywords/>
  <cp:lastModifiedBy>Eric Liu</cp:lastModifiedBy>
  <cp:revision>5</cp:revision>
  <dcterms:created xsi:type="dcterms:W3CDTF">2026-08-05T12:21:00Z</dcterms:created>
  <dcterms:modified xsi:type="dcterms:W3CDTF">2026-08-05T12:38:00Z</dcterms:modified>
</cp:coreProperties>
</file>