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RESEARCH TERRITORY</w:t>
      </w:r>
    </w:p>
    <w:bookmarkStart w:id="37" w:name="lots-in-commons"/>
    <w:p>
      <w:pPr>
        <w:pStyle w:val="Heading1"/>
      </w:pPr>
      <w:r>
        <w:t xml:space="preserve">Lots in Commons</w:t>
      </w:r>
    </w:p>
    <w:p>
      <w:pPr>
        <w:pStyle w:val="FirstParagraph"/>
      </w:pPr>
      <w:r>
        <w:t xml:space="preserve">Presentation script</w:t>
      </w:r>
    </w:p>
    <w:bookmarkStart w:id="20" w:name="slide-1"/>
    <w:p>
      <w:pPr>
        <w:pStyle w:val="Heading2"/>
      </w:pPr>
      <w:r>
        <w:t xml:space="preserve">SLIDE 1</w:t>
      </w:r>
    </w:p>
    <w:bookmarkStart w:id="19" w:name="lots-in-commons-1"/>
    <w:p>
      <w:pPr>
        <w:pStyle w:val="Heading3"/>
      </w:pPr>
      <w:r>
        <w:t xml:space="preserve">Lots in Commons</w:t>
      </w:r>
    </w:p>
    <w:p>
      <w:pPr>
        <w:pStyle w:val="FirstParagraph"/>
      </w:pPr>
      <w:r>
        <w:rPr>
          <w:i/>
          <w:iCs/>
        </w:rPr>
        <w:t xml:space="preserve">Lots in Commons</w:t>
      </w:r>
      <w:r>
        <w:t xml:space="preserve"> </w:t>
      </w:r>
      <w:r>
        <w:t xml:space="preserve">is a working title for a research territory.</w:t>
      </w:r>
      <w:r>
        <w:t xml:space="preserve"> </w:t>
      </w:r>
      <w:r>
        <w:t xml:space="preserve">“Lots”</w:t>
      </w:r>
      <w:r>
        <w:t xml:space="preserve"> </w:t>
      </w:r>
      <w:r>
        <w:t xml:space="preserve">names parcels and abundance, but also division.</w:t>
      </w:r>
      <w:r>
        <w:t xml:space="preserve"> </w:t>
      </w:r>
      <w:r>
        <w:t xml:space="preserve">“Commons”</w:t>
      </w:r>
      <w:r>
        <w:t xml:space="preserve"> </w:t>
      </w:r>
      <w:r>
        <w:t xml:space="preserve">names the systems collective life relies upon—even when their governance is anything but common.</w:t>
      </w:r>
    </w:p>
    <w:p>
      <w:pPr>
        <w:pStyle w:val="BodyText"/>
      </w:pPr>
      <w:r>
        <w:t xml:space="preserve">The project begins with an unease: uncertain futures become concrete long before they become certain. An expectation becomes a line on a map; soon the line becomes a contract, a substation, a landscape. I want to follow that hardening and ask how it might remain negotiable.</w:t>
      </w:r>
    </w:p>
    <w:bookmarkEnd w:id="19"/>
    <w:bookmarkEnd w:id="20"/>
    <w:bookmarkStart w:id="22" w:name="slide-2"/>
    <w:p>
      <w:pPr>
        <w:pStyle w:val="Heading2"/>
      </w:pPr>
      <w:r>
        <w:t xml:space="preserve">SLIDE 2</w:t>
      </w:r>
    </w:p>
    <w:bookmarkStart w:id="21" w:name="X18bea9376a2eb3e5160ee78327aa19ebf937c8b"/>
    <w:p>
      <w:pPr>
        <w:pStyle w:val="Heading3"/>
      </w:pPr>
      <w:r>
        <w:t xml:space="preserve">Forecasts are infrastructure before they are buildings</w:t>
      </w:r>
    </w:p>
    <w:p>
      <w:pPr>
        <w:pStyle w:val="FirstParagraph"/>
      </w:pPr>
      <w:r>
        <w:t xml:space="preserve">Infrastructure is usually treated as background. I approach it as the medium where matter, law, finance, and expectation meet. A forecast does not simply report a possible future—it changes what appears investable, what receives permission, what is prepared to connect.</w:t>
      </w:r>
    </w:p>
    <w:p>
      <w:pPr>
        <w:pStyle w:val="BodyText"/>
      </w:pPr>
      <w:r>
        <w:t xml:space="preserve">Keller Easterling’s</w:t>
      </w:r>
      <w:r>
        <w:t xml:space="preserve"> </w:t>
      </w:r>
      <w:r>
        <w:rPr>
          <w:i/>
          <w:iCs/>
        </w:rPr>
        <w:t xml:space="preserve">Extrastatecraft</w:t>
      </w:r>
      <w:r>
        <w:t xml:space="preserve"> </w:t>
      </w:r>
      <w:r>
        <w:t xml:space="preserve">gives me a language for this spatial agency: markets price expected demand, but infrastructure space carries that expectation outward, settling into standards and repeatable formulas until a speculative future looks like an ordinary course of action.</w:t>
      </w:r>
    </w:p>
    <w:p>
      <w:pPr>
        <w:pStyle w:val="BodyText"/>
      </w:pPr>
      <w:r>
        <w:t xml:space="preserve">Paglen’s cable landing sites and the ERCOT map show the moment abstraction touches ground. Prediction becomes infrastructural when institutions can act through it before the event it anticipates has arrived.</w:t>
      </w:r>
    </w:p>
    <w:bookmarkEnd w:id="21"/>
    <w:bookmarkEnd w:id="22"/>
    <w:bookmarkStart w:id="24" w:name="slide-3"/>
    <w:p>
      <w:pPr>
        <w:pStyle w:val="Heading2"/>
      </w:pPr>
      <w:r>
        <w:t xml:space="preserve">SLIDE 3</w:t>
      </w:r>
    </w:p>
    <w:bookmarkStart w:id="23" w:name="X588ae91dd0f0e322518eb4b175787b28e608eac"/>
    <w:p>
      <w:pPr>
        <w:pStyle w:val="Heading3"/>
      </w:pPr>
      <w:r>
        <w:t xml:space="preserve">Prediction becomes material through translation</w:t>
      </w:r>
    </w:p>
    <w:p>
      <w:pPr>
        <w:pStyle w:val="FirstParagraph"/>
      </w:pPr>
      <w:r>
        <w:t xml:space="preserve">The primary question is: how do institutions translate uncertain futures into sites and material commitments?</w:t>
      </w:r>
    </w:p>
    <w:p>
      <w:pPr>
        <w:pStyle w:val="BodyText"/>
      </w:pPr>
      <w:r>
        <w:t xml:space="preserve">I am following four interacting translations. A projection becomes an obligation. Ground becomes value. Terrain becomes a score. A resource becomes a promise. These are not neutral stages; they reinforce one another. Demand justifies capacity. Promised capacity alters land value. Value directs selection, and the selected site produces a new story of demand that appears to confirm where the cycle began.</w:t>
      </w:r>
    </w:p>
    <w:p>
      <w:pPr>
        <w:pStyle w:val="BodyText"/>
      </w:pPr>
      <w:r>
        <w:t xml:space="preserve">At every turn, authority is redistributed. Who produces the forecast, who acts on it, who absorbs its consequences? Beneath the network lies a remainder—everything that persists after it stops counting as evidence. A mineral becomes a component the way ground becomes value; the toxicity that made the component possible does not disappear because the ledger stops counting it.</w:t>
      </w:r>
    </w:p>
    <w:bookmarkEnd w:id="23"/>
    <w:bookmarkEnd w:id="24"/>
    <w:bookmarkStart w:id="26" w:name="slide-4"/>
    <w:p>
      <w:pPr>
        <w:pStyle w:val="Heading2"/>
      </w:pPr>
      <w:r>
        <w:t xml:space="preserve">SLIDE 4</w:t>
      </w:r>
    </w:p>
    <w:bookmarkStart w:id="25" w:name="north-texas-is-an-aperture-not-a-model"/>
    <w:p>
      <w:pPr>
        <w:pStyle w:val="Heading3"/>
      </w:pPr>
      <w:r>
        <w:t xml:space="preserve">North Texas is an aperture, not a model</w:t>
      </w:r>
    </w:p>
    <w:p>
      <w:pPr>
        <w:pStyle w:val="FirstParagraph"/>
      </w:pPr>
      <w:r>
        <w:t xml:space="preserve">North Texas remains useful as an aperture rather than a universal case. At its suburban–rural edge, competing futures for the same ground become unusually visible—a field can be read as agriculture, subdivision, logistics territory, or computational capacity.</w:t>
      </w:r>
    </w:p>
    <w:p>
      <w:pPr>
        <w:pStyle w:val="BodyText"/>
      </w:pPr>
      <w:r>
        <w:t xml:space="preserve">The question becomes one of sensing. Administrative maps register parcels with precision while flattening what moves beneath and across them. The wearable apparatus brings the sensing body into the frame as an instrument, not a witness standing outside the site. Anthony Acciavatti’s</w:t>
      </w:r>
      <w:r>
        <w:t xml:space="preserve"> </w:t>
      </w:r>
      <w:r>
        <w:rPr>
          <w:i/>
          <w:iCs/>
        </w:rPr>
        <w:t xml:space="preserve">Grounded Growth</w:t>
      </w:r>
      <w:r>
        <w:t xml:space="preserve"> </w:t>
      </w:r>
      <w:r>
        <w:t xml:space="preserve">treats groundwater as urban form rather than hidden resource—together they ask what becomes perceptible when measurement is situated, and whose exposure counts as evidence.</w:t>
      </w:r>
    </w:p>
    <w:bookmarkEnd w:id="25"/>
    <w:bookmarkEnd w:id="26"/>
    <w:bookmarkStart w:id="28" w:name="slide-5"/>
    <w:p>
      <w:pPr>
        <w:pStyle w:val="Heading2"/>
      </w:pPr>
      <w:r>
        <w:t xml:space="preserve">SLIDE 5</w:t>
      </w:r>
    </w:p>
    <w:bookmarkStart w:id="27" w:name="X2a6f074139b0127a160d9bc59d71b1234aab4eb"/>
    <w:p>
      <w:pPr>
        <w:pStyle w:val="Heading3"/>
      </w:pPr>
      <w:r>
        <w:t xml:space="preserve">A forecast is only one way of knowing a future</w:t>
      </w:r>
    </w:p>
    <w:p>
      <w:pPr>
        <w:pStyle w:val="FirstParagraph"/>
      </w:pPr>
      <w:r>
        <w:t xml:space="preserve">The contrast is not rational computation versus irrational ecology. It is a difference in attention. A forecast isolates variables, prices risk, searches for what can be repeated. Haraway asks us to stay with damaged entanglements instead of resolving them. Tsing follows relations that resist scalability and nevertheless sustain life.</w:t>
      </w:r>
    </w:p>
    <w:p>
      <w:pPr>
        <w:pStyle w:val="BodyText"/>
      </w:pPr>
      <w:r>
        <w:t xml:space="preserve">Call this a modern alchemy: not mysticism, but a willingness to work obliquely with transformation, holding a process without demanding that it yield a clean, repeatable output. A forecast wants the mushroom to become a model. Tsing’s mushroom refuses—and stays a mushroom, entangled, unrepeatable, alive.</w:t>
      </w:r>
    </w:p>
    <w:p>
      <w:pPr>
        <w:pStyle w:val="BodyText"/>
      </w:pPr>
      <w:r>
        <w:t xml:space="preserve">The same refusal will resurface at a different scale in a moment: what happens when a system can no longer tell its own residue from the ground it started with.</w:t>
      </w:r>
    </w:p>
    <w:bookmarkEnd w:id="27"/>
    <w:bookmarkEnd w:id="28"/>
    <w:bookmarkStart w:id="30" w:name="slide-6"/>
    <w:p>
      <w:pPr>
        <w:pStyle w:val="Heading2"/>
      </w:pPr>
      <w:r>
        <w:t xml:space="preserve">SLIDE 6</w:t>
      </w:r>
    </w:p>
    <w:bookmarkStart w:id="29" w:name="Xafdb1106b282163b8c6ed60f98e0c076337fee5"/>
    <w:p>
      <w:pPr>
        <w:pStyle w:val="Heading3"/>
      </w:pPr>
      <w:r>
        <w:t xml:space="preserve">When models train on models, human data becomes scarce ground truth</w:t>
      </w:r>
    </w:p>
    <w:p>
      <w:pPr>
        <w:pStyle w:val="FirstParagraph"/>
      </w:pPr>
      <w:r>
        <w:t xml:space="preserve">The same question—what a system can no longer distinguish from its own residue—returns in AI training. Human expression becomes raw material; generated output circulates back into the corpus. Institutions then decide which human traces still qualify as provenance, as ground truth.</w:t>
      </w:r>
    </w:p>
    <w:p>
      <w:pPr>
        <w:pStyle w:val="BodyText"/>
      </w:pPr>
      <w:r>
        <w:t xml:space="preserve">Research on model collapse shows that indiscriminate recursion can narrow a distribution until its edges disappear. Collapse is not inevitable when original data is retained and mixtures are curated—but that makes the politics sharper: who controls the mixture, who defines the real? Nora Khan’s</w:t>
      </w:r>
      <w:r>
        <w:t xml:space="preserve"> </w:t>
      </w:r>
      <w:r>
        <w:rPr>
          <w:i/>
          <w:iCs/>
        </w:rPr>
        <w:t xml:space="preserve">HOLO 3</w:t>
      </w:r>
      <w:r>
        <w:t xml:space="preserve"> </w:t>
      </w:r>
      <w:r>
        <w:t xml:space="preserve">names partial knowing and explainability as limits, not defects prediction should eventually correct.</w:t>
      </w:r>
    </w:p>
    <w:p>
      <w:pPr>
        <w:pStyle w:val="BodyText"/>
      </w:pPr>
      <w:r>
        <w:rPr>
          <w:i/>
          <w:iCs/>
        </w:rPr>
        <w:t xml:space="preserve">ImageNet Roulette</w:t>
      </w:r>
      <w:r>
        <w:t xml:space="preserve"> </w:t>
      </w:r>
      <w:r>
        <w:t xml:space="preserve">reminds us that legibility is not automatically liberating. Recognition can misname and injure. Agency may mean correction; sometimes, following Khan, it means the right to remain unread.</w:t>
      </w:r>
    </w:p>
    <w:bookmarkEnd w:id="29"/>
    <w:bookmarkEnd w:id="30"/>
    <w:bookmarkStart w:id="32" w:name="slide-7"/>
    <w:p>
      <w:pPr>
        <w:pStyle w:val="Heading2"/>
      </w:pPr>
      <w:r>
        <w:t xml:space="preserve">SLIDE 7</w:t>
      </w:r>
    </w:p>
    <w:bookmarkStart w:id="31" w:name="X4276152b322b9272b119878e5f096e063e548eb"/>
    <w:p>
      <w:pPr>
        <w:pStyle w:val="Heading3"/>
      </w:pPr>
      <w:r>
        <w:t xml:space="preserve">What an image fails to resolve may still be evidence</w:t>
      </w:r>
    </w:p>
    <w:p>
      <w:pPr>
        <w:pStyle w:val="FirstParagraph"/>
      </w:pPr>
      <w:r>
        <w:t xml:space="preserve">Representation is not downstream from these systems—images participate in decisions about the world. Jussi Parikka extends the operational image toward pictures made by and for systems to act, often without a human viewer. Sensing stretches beyond the visible, making certain relations computable while others fall away.</w:t>
      </w:r>
    </w:p>
    <w:p>
      <w:pPr>
        <w:pStyle w:val="BodyText"/>
      </w:pPr>
      <w:r>
        <w:t xml:space="preserve">Hito Steyerl’s poor image introduces a different politics: low resolution is not only loss, it records the pressure of circulation and value. Omar Mismar lets corruption break across the image’s surface. Forensic Architecture’s</w:t>
      </w:r>
      <w:r>
        <w:t xml:space="preserve"> </w:t>
      </w:r>
      <w:r>
        <w:rPr>
          <w:i/>
          <w:iCs/>
        </w:rPr>
        <w:t xml:space="preserve">Cloud Studies</w:t>
      </w:r>
      <w:r>
        <w:t xml:space="preserve"> </w:t>
      </w:r>
      <w:r>
        <w:t xml:space="preserve">works in the other direction, gathering atmospheric traces until violence becomes perceptible.</w:t>
      </w:r>
    </w:p>
    <w:p>
      <w:pPr>
        <w:pStyle w:val="BodyText"/>
      </w:pPr>
      <w:r>
        <w:t xml:space="preserve">Glitch should not be romanticized, but it can reveal the seam where signal becomes decision. Can remote sensing be reclaimed as situated witnessing rather than extraction?</w:t>
      </w:r>
    </w:p>
    <w:bookmarkEnd w:id="31"/>
    <w:bookmarkEnd w:id="32"/>
    <w:bookmarkStart w:id="34" w:name="slide-8"/>
    <w:p>
      <w:pPr>
        <w:pStyle w:val="Heading2"/>
      </w:pPr>
      <w:r>
        <w:t xml:space="preserve">SLIDE 8</w:t>
      </w:r>
    </w:p>
    <w:bookmarkStart w:id="33" w:name="X0c72a099b298bbeb5c70c498bcbde1438deb1fc"/>
    <w:p>
      <w:pPr>
        <w:pStyle w:val="Heading3"/>
      </w:pPr>
      <w:r>
        <w:t xml:space="preserve">Composition becomes a method of investigation</w:t>
      </w:r>
    </w:p>
    <w:p>
      <w:pPr>
        <w:pStyle w:val="FirstParagraph"/>
      </w:pPr>
      <w:r>
        <w:t xml:space="preserve">The project takes form less as an atlas than as a composition. A drawing traces what an image cannot hold. A physical object gives a translation weight and duration—something you could, in principle, still hold after the forecast that produced it has been forgotten. A projection lets that object be re-read against the site it came from, so the two accounts can be caught disagreeing with each other in real time.</w:t>
      </w:r>
    </w:p>
    <w:p>
      <w:pPr>
        <w:pStyle w:val="BodyText"/>
      </w:pPr>
      <w:r>
        <w:t xml:space="preserve">Marina Otero Verzier’s</w:t>
      </w:r>
      <w:r>
        <w:t xml:space="preserve"> </w:t>
      </w:r>
      <w:r>
        <w:rPr>
          <w:i/>
          <w:iCs/>
        </w:rPr>
        <w:t xml:space="preserve">Computational Compost</w:t>
      </w:r>
      <w:r>
        <w:t xml:space="preserve"> </w:t>
      </w:r>
      <w:r>
        <w:t xml:space="preserve">is the precedent: it does not represent infrastructure meeting metabolism, it stages their actual contact within one experiment, and the argument emerges from that contact rather than from a caption beside it.</w:t>
      </w:r>
    </w:p>
    <w:p>
      <w:pPr>
        <w:pStyle w:val="BodyText"/>
      </w:pPr>
      <w:r>
        <w:t xml:space="preserve">I want to work the same way—object, projection, and drawing as three instruments in the same room, not illustrations of a thesis decided in advance. The composition is where evidence gets staged, propositions get tested, and a new question is allowed to appear.</w:t>
      </w:r>
    </w:p>
    <w:bookmarkEnd w:id="33"/>
    <w:bookmarkEnd w:id="34"/>
    <w:bookmarkStart w:id="36" w:name="slide-9"/>
    <w:p>
      <w:pPr>
        <w:pStyle w:val="Heading2"/>
      </w:pPr>
      <w:r>
        <w:t xml:space="preserve">SLIDE 9</w:t>
      </w:r>
    </w:p>
    <w:bookmarkStart w:id="35" w:name="open-proposition"/>
    <w:p>
      <w:pPr>
        <w:pStyle w:val="Heading3"/>
      </w:pPr>
      <w:r>
        <w:t xml:space="preserve">Open proposition</w:t>
      </w:r>
    </w:p>
    <w:p>
      <w:pPr>
        <w:pStyle w:val="FirstParagraph"/>
      </w:pPr>
      <w:r>
        <w:t xml:space="preserve">The project does not propose that every forecast should stop, or that every system can remain reversible. It asks what happens at the moment uncertainty hardens into authority—and whether representation can reopen that moment.</w:t>
      </w:r>
    </w:p>
    <w:p>
      <w:pPr>
        <w:pStyle w:val="BodyText"/>
      </w:pPr>
      <w:r>
        <w:t xml:space="preserve">The working proposition is therefore: how might representation keep a future contestable before prediction becomes commitment?</w:t>
      </w:r>
    </w:p>
    <w:bookmarkEnd w:id="35"/>
    <w:bookmarkEnd w:id="36"/>
    <w:bookmarkEnd w:id="37"/>
    <w:sectPr w:rsidR="00FC693F" w:rsidRPr="0006063C" w:rsidSect="00034616">
      <w:headerReference r:id="rId9" w:type="default"/>
      <w:footerReference r:id="rId10"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b w:val="0"/>
        <w:i w:val="0"/>
        <w:color w:val="6C6C65"/>
        <w:sz w:val="16"/>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val="0"/>
        <w:i w:val="0"/>
        <w:color w:val="6C6C65"/>
        <w:sz w:val="16"/>
      </w:rPr>
      <w:t>LOTS IN COMMONS  ·  PRESENTATION SCRIPT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120" w:before="0" w:line="300" w:lineRule="auto"/>
    </w:pPr>
    <w:rPr>
      <w:rFonts w:ascii="Arial" w:hAnsi="Arial"/>
      <w:color w:val="171714"/>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line="240" w:lineRule="auto"/>
      <w:outlineLvl w:val="0"/>
    </w:pPr>
    <w:rPr>
      <w:rFonts w:ascii="Arial" w:asciiTheme="majorHAnsi" w:cstheme="majorBidi" w:eastAsiaTheme="majorEastAsia" w:hAnsi="Arial" w:hAnsiTheme="majorHAnsi"/>
      <w:b w:val="0"/>
      <w:bCs/>
      <w:color w:val="171714"/>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2026-08-04T20:44:31Z</dcterms:created>
  <dcterms:modified xsi:type="dcterms:W3CDTF">2026-08-04T20:44:31Z</dcterms:modified>
</cp:coreProperties>
</file>

<file path=docProps/custom.xml><?xml version="1.0" encoding="utf-8"?>
<Properties xmlns="http://schemas.openxmlformats.org/officeDocument/2006/custom-properties" xmlns:vt="http://schemas.openxmlformats.org/officeDocument/2006/docPropsVTypes"/>
</file>