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ynnxb2d7e3b" w:id="0"/>
      <w:bookmarkEnd w:id="0"/>
      <w:r w:rsidDel="00000000" w:rsidR="00000000" w:rsidRPr="00000000">
        <w:rPr>
          <w:rtl w:val="0"/>
        </w:rPr>
        <w:t xml:space="preserve">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records the activity to prepare the development environment for creating WCF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develop services that access iSeries data we need to install Access for Windows version 7.  Initially I had version 5 and it would not work.  You will need the dlls for the iSeries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have been several objects created for the web project that are available for development use.  On the down side they did not place them in their own solution so we have to have the web main project in order to view them.  And of course there is no documentation to identify what they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I thought I would use the class that was developed in the web project.  Later I found out that the class must be very primitive or the serializer will have trouble with it and not return anything from the call.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test things local I had to reserve the host port using the netsh http command.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