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after="200" w:line="240" w:lineRule="auto"/>
        <w:rPr>
          <w:rFonts w:ascii="Lato Black" w:cs="Lato Black" w:eastAsia="Lato Black" w:hAnsi="Lato Black"/>
          <w:color w:val="023452"/>
          <w:sz w:val="56"/>
          <w:szCs w:val="56"/>
        </w:rPr>
      </w:pPr>
      <w:bookmarkStart w:colFirst="0" w:colLast="0" w:name="_h22oiqqydi3r" w:id="0"/>
      <w:bookmarkEnd w:id="0"/>
      <w:r w:rsidDel="00000000" w:rsidR="00000000" w:rsidRPr="00000000">
        <w:rPr>
          <w:rFonts w:ascii="Lato Black" w:cs="Lato Black" w:eastAsia="Lato Black" w:hAnsi="Lato Black"/>
          <w:color w:val="023452"/>
          <w:sz w:val="56"/>
          <w:szCs w:val="56"/>
          <w:rtl w:val="0"/>
        </w:rPr>
        <w:tab/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2162175</wp:posOffset>
            </wp:positionH>
            <wp:positionV relativeFrom="paragraph">
              <wp:posOffset>119063</wp:posOffset>
            </wp:positionV>
            <wp:extent cx="890588" cy="480082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0588" cy="4800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4981575</wp:posOffset>
            </wp:positionH>
            <wp:positionV relativeFrom="paragraph">
              <wp:posOffset>228600</wp:posOffset>
            </wp:positionV>
            <wp:extent cx="1607058" cy="352425"/>
            <wp:effectExtent b="0" l="0" r="0" t="0"/>
            <wp:wrapNone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7058" cy="352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3590925</wp:posOffset>
            </wp:positionH>
            <wp:positionV relativeFrom="paragraph">
              <wp:posOffset>123825</wp:posOffset>
            </wp:positionV>
            <wp:extent cx="1009650" cy="561975"/>
            <wp:effectExtent b="0" l="0" r="0" t="0"/>
            <wp:wrapNone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561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Title"/>
        <w:spacing w:after="200" w:line="240" w:lineRule="auto"/>
        <w:rPr>
          <w:rFonts w:ascii="Lato Black" w:cs="Lato Black" w:eastAsia="Lato Black" w:hAnsi="Lato Black"/>
          <w:color w:val="023452"/>
          <w:sz w:val="56"/>
          <w:szCs w:val="56"/>
        </w:rPr>
      </w:pPr>
      <w:bookmarkStart w:colFirst="0" w:colLast="0" w:name="_37fyl8n2c00t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spacing w:after="200" w:line="240" w:lineRule="auto"/>
        <w:rPr>
          <w:rFonts w:ascii="Lato Black" w:cs="Lato Black" w:eastAsia="Lato Black" w:hAnsi="Lato Black"/>
          <w:i w:val="1"/>
          <w:color w:val="023452"/>
          <w:sz w:val="54"/>
          <w:szCs w:val="54"/>
        </w:rPr>
      </w:pPr>
      <w:bookmarkStart w:colFirst="0" w:colLast="0" w:name="_2denfpsgorz1" w:id="2"/>
      <w:bookmarkEnd w:id="2"/>
      <w:r w:rsidDel="00000000" w:rsidR="00000000" w:rsidRPr="00000000">
        <w:rPr>
          <w:rFonts w:ascii="Lato Black" w:cs="Lato Black" w:eastAsia="Lato Black" w:hAnsi="Lato Black"/>
          <w:color w:val="023452"/>
          <w:sz w:val="54"/>
          <w:szCs w:val="54"/>
          <w:rtl w:val="0"/>
        </w:rPr>
        <w:t xml:space="preserve">Training material made FAIR </w:t>
      </w:r>
      <w:r w:rsidDel="00000000" w:rsidR="00000000" w:rsidRPr="00000000">
        <w:rPr>
          <w:rFonts w:ascii="Lato Black" w:cs="Lato Black" w:eastAsia="Lato Black" w:hAnsi="Lato Black"/>
          <w:i w:val="1"/>
          <w:color w:val="023452"/>
          <w:sz w:val="54"/>
          <w:szCs w:val="54"/>
          <w:rtl w:val="0"/>
        </w:rPr>
        <w:t xml:space="preserve">by-design</w:t>
      </w:r>
    </w:p>
    <w:p w:rsidR="00000000" w:rsidDel="00000000" w:rsidP="00000000" w:rsidRDefault="00000000" w:rsidRPr="00000000" w14:paraId="00000004">
      <w:pPr>
        <w:pStyle w:val="Title"/>
        <w:spacing w:after="200" w:lineRule="auto"/>
        <w:rPr>
          <w:rFonts w:ascii="Lato Black" w:cs="Lato Black" w:eastAsia="Lato Black" w:hAnsi="Lato Black"/>
          <w:color w:val="023452"/>
          <w:sz w:val="48"/>
          <w:szCs w:val="48"/>
        </w:rPr>
      </w:pPr>
      <w:bookmarkStart w:colFirst="0" w:colLast="0" w:name="_qu9t19srmxm" w:id="3"/>
      <w:bookmarkEnd w:id="3"/>
      <w:r w:rsidDel="00000000" w:rsidR="00000000" w:rsidRPr="00000000">
        <w:rPr>
          <w:rFonts w:ascii="Lato Black" w:cs="Lato Black" w:eastAsia="Lato Black" w:hAnsi="Lato Black"/>
          <w:color w:val="023452"/>
          <w:sz w:val="40"/>
          <w:szCs w:val="40"/>
          <w:rtl w:val="0"/>
        </w:rPr>
        <w:t xml:space="preserve">Chapter 8. Releases and use of unique identifiers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spacing w:after="200" w:line="240" w:lineRule="auto"/>
        <w:rPr>
          <w:rFonts w:ascii="Lato Black" w:cs="Lato Black" w:eastAsia="Lato Black" w:hAnsi="Lato Black"/>
          <w:color w:val="023452"/>
          <w:sz w:val="36"/>
          <w:szCs w:val="36"/>
        </w:rPr>
      </w:pPr>
      <w:bookmarkStart w:colFirst="0" w:colLast="0" w:name="_gjdgxs" w:id="4"/>
      <w:bookmarkEnd w:id="4"/>
      <w:r w:rsidDel="00000000" w:rsidR="00000000" w:rsidRPr="00000000">
        <w:rPr>
          <w:rFonts w:ascii="Lato Black" w:cs="Lato Black" w:eastAsia="Lato Black" w:hAnsi="Lato Black"/>
          <w:color w:val="023452"/>
          <w:sz w:val="36"/>
          <w:szCs w:val="36"/>
          <w:rtl w:val="0"/>
        </w:rPr>
        <w:t xml:space="preserve">Exercise</w:t>
        <w:br w:type="textWrapping"/>
      </w:r>
    </w:p>
    <w:p w:rsidR="00000000" w:rsidDel="00000000" w:rsidP="00000000" w:rsidRDefault="00000000" w:rsidRPr="00000000" w14:paraId="00000006">
      <w:pPr>
        <w:pStyle w:val="Subtitle"/>
        <w:spacing w:after="0" w:line="331.2" w:lineRule="auto"/>
        <w:rPr>
          <w:rFonts w:ascii="Lato" w:cs="Lato" w:eastAsia="Lato" w:hAnsi="Lato"/>
          <w:color w:val="f47d20"/>
        </w:rPr>
      </w:pPr>
      <w:bookmarkStart w:colFirst="0" w:colLast="0" w:name="_dgrhdwf5vu89" w:id="5"/>
      <w:bookmarkEnd w:id="5"/>
      <w:r w:rsidDel="00000000" w:rsidR="00000000" w:rsidRPr="00000000">
        <w:rPr>
          <w:rFonts w:ascii="Lato" w:cs="Lato" w:eastAsia="Lato" w:hAnsi="Lato"/>
          <w:b w:val="1"/>
          <w:color w:val="f47d20"/>
          <w:rtl w:val="0"/>
        </w:rPr>
        <w:t xml:space="preserve">Date</w:t>
      </w:r>
      <w:r w:rsidDel="00000000" w:rsidR="00000000" w:rsidRPr="00000000">
        <w:rPr>
          <w:rFonts w:ascii="Lato" w:cs="Lato" w:eastAsia="Lato" w:hAnsi="Lato"/>
          <w:color w:val="f47d20"/>
          <w:rtl w:val="0"/>
        </w:rPr>
        <w:t xml:space="preserve">:  </w:t>
      </w:r>
    </w:p>
    <w:p w:rsidR="00000000" w:rsidDel="00000000" w:rsidP="00000000" w:rsidRDefault="00000000" w:rsidRPr="00000000" w14:paraId="00000007">
      <w:pPr>
        <w:pStyle w:val="Title"/>
        <w:spacing w:after="200" w:line="276" w:lineRule="auto"/>
        <w:rPr>
          <w:rFonts w:ascii="Lora" w:cs="Lora" w:eastAsia="Lora" w:hAnsi="Lora"/>
        </w:rPr>
      </w:pPr>
      <w:bookmarkStart w:colFirst="0" w:colLast="0" w:name="_9s45md6x6a9a" w:id="6"/>
      <w:bookmarkEnd w:id="6"/>
      <w:r w:rsidDel="00000000" w:rsidR="00000000" w:rsidRPr="00000000">
        <w:rPr>
          <w:rFonts w:ascii="Lato" w:cs="Lato" w:eastAsia="Lato" w:hAnsi="Lato"/>
          <w:b w:val="1"/>
          <w:color w:val="f47d20"/>
          <w:sz w:val="30"/>
          <w:szCs w:val="30"/>
          <w:rtl w:val="0"/>
        </w:rPr>
        <w:t xml:space="preserve">Trainer:</w:t>
      </w:r>
      <w:r w:rsidDel="00000000" w:rsidR="00000000" w:rsidRPr="00000000">
        <w:rPr>
          <w:rFonts w:ascii="Lato" w:cs="Lato" w:eastAsia="Lato" w:hAnsi="Lato"/>
          <w:color w:val="f47d20"/>
          <w:sz w:val="30"/>
          <w:szCs w:val="3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280" w:before="280" w:lineRule="auto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280" w:before="280" w:lineRule="auto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Read through the real world examples of using PIDs in Training from </w:t>
      </w:r>
      <w:hyperlink r:id="rId9">
        <w:r w:rsidDel="00000000" w:rsidR="00000000" w:rsidRPr="00000000">
          <w:rPr>
            <w:rFonts w:ascii="Lora" w:cs="Lora" w:eastAsia="Lora" w:hAnsi="Lora"/>
            <w:color w:val="1155cc"/>
            <w:rtl w:val="0"/>
          </w:rPr>
          <w:t xml:space="preserve">FAIR handbook (chapter 05)</w:t>
        </w:r>
      </w:hyperlink>
      <w:r w:rsidDel="00000000" w:rsidR="00000000" w:rsidRPr="00000000">
        <w:rPr>
          <w:rFonts w:ascii="Lora" w:cs="Lora" w:eastAsia="Lora" w:hAnsi="Lora"/>
          <w:rtl w:val="0"/>
        </w:rPr>
        <w:t xml:space="preserve"> (by </w:t>
      </w:r>
      <w:hyperlink r:id="rId10">
        <w:r w:rsidDel="00000000" w:rsidR="00000000" w:rsidRPr="00000000">
          <w:rPr>
            <w:rFonts w:ascii="Lora" w:cs="Lora" w:eastAsia="Lora" w:hAnsi="Lora"/>
            <w:color w:val="1155cc"/>
            <w:rtl w:val="0"/>
          </w:rPr>
          <w:t xml:space="preserve">ELIXIR training platform</w:t>
        </w:r>
      </w:hyperlink>
      <w:r w:rsidDel="00000000" w:rsidR="00000000" w:rsidRPr="00000000">
        <w:rPr>
          <w:rFonts w:ascii="Lora" w:cs="Lora" w:eastAsia="Lora" w:hAnsi="Lora"/>
          <w:rtl w:val="0"/>
        </w:rPr>
        <w:t xml:space="preserve">, </w:t>
      </w:r>
      <w:hyperlink r:id="rId11">
        <w:r w:rsidDel="00000000" w:rsidR="00000000" w:rsidRPr="00000000">
          <w:rPr>
            <w:rFonts w:ascii="Lora" w:cs="Lora" w:eastAsia="Lora" w:hAnsi="Lora"/>
            <w:color w:val="1155cc"/>
            <w:rtl w:val="0"/>
          </w:rPr>
          <w:t xml:space="preserve">CCBYSA 4.0 license</w:t>
        </w:r>
      </w:hyperlink>
      <w:r w:rsidDel="00000000" w:rsidR="00000000" w:rsidRPr="00000000">
        <w:rPr>
          <w:rFonts w:ascii="Lora" w:cs="Lora" w:eastAsia="Lora" w:hAnsi="Lora"/>
          <w:rtl w:val="0"/>
        </w:rPr>
        <w:t xml:space="preserve">), and answer the following questions: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hd w:fill="ffffff" w:val="clear"/>
        <w:spacing w:after="0" w:afterAutospacing="0" w:before="280" w:lineRule="auto"/>
        <w:ind w:left="1200" w:hanging="360"/>
        <w:rPr>
          <w:rFonts w:ascii="Lora" w:cs="Lora" w:eastAsia="Lora" w:hAnsi="Lora"/>
          <w:b w:val="1"/>
          <w:sz w:val="22"/>
          <w:szCs w:val="22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Summarise the strategy used in each use case: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1200" w:hanging="360"/>
        <w:rPr>
          <w:rFonts w:ascii="Lora" w:cs="Lora" w:eastAsia="Lora" w:hAnsi="Lora"/>
          <w:b w:val="1"/>
          <w:sz w:val="22"/>
          <w:szCs w:val="22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What is the main benefit with each strategy?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hd w:fill="ffffff" w:val="clear"/>
        <w:spacing w:after="280" w:before="0" w:beforeAutospacing="0" w:lineRule="auto"/>
        <w:ind w:left="1200" w:hanging="360"/>
        <w:rPr>
          <w:rFonts w:ascii="Lora" w:cs="Lora" w:eastAsia="Lora" w:hAnsi="Lora"/>
          <w:b w:val="1"/>
          <w:sz w:val="22"/>
          <w:szCs w:val="22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Are there any drawbacks with each strategy?</w:t>
      </w:r>
    </w:p>
    <w:p w:rsidR="00000000" w:rsidDel="00000000" w:rsidP="00000000" w:rsidRDefault="00000000" w:rsidRPr="00000000" w14:paraId="0000000D">
      <w:pPr>
        <w:shd w:fill="ffffff" w:val="clear"/>
        <w:spacing w:after="280" w:before="280" w:lineRule="auto"/>
        <w:ind w:left="0" w:firstLine="0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420" w:before="280" w:lineRule="auto"/>
        <w:ind w:left="0" w:firstLine="0"/>
        <w:rPr>
          <w:rFonts w:ascii="Lato" w:cs="Lato" w:eastAsia="Lato" w:hAnsi="Lato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420" w:before="280" w:lineRule="auto"/>
        <w:ind w:left="0" w:firstLine="0"/>
        <w:rPr>
          <w:rFonts w:ascii="Lato" w:cs="Lato" w:eastAsia="Lato" w:hAnsi="Lato"/>
          <w:b w:val="1"/>
          <w:sz w:val="27"/>
          <w:szCs w:val="27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420" w:before="280" w:lineRule="auto"/>
        <w:ind w:left="0" w:firstLine="0"/>
        <w:rPr>
          <w:rFonts w:ascii="Lora" w:cs="Lora" w:eastAsia="Lora" w:hAnsi="Lora"/>
          <w:sz w:val="26"/>
          <w:szCs w:val="26"/>
        </w:rPr>
      </w:pPr>
      <w:r w:rsidDel="00000000" w:rsidR="00000000" w:rsidRPr="00000000">
        <w:rPr>
          <w:rFonts w:ascii="Lora" w:cs="Lora" w:eastAsia="Lora" w:hAnsi="Lora"/>
          <w:b w:val="1"/>
          <w:sz w:val="26"/>
          <w:szCs w:val="26"/>
          <w:rtl w:val="0"/>
        </w:rPr>
        <w:t xml:space="preserve">Case 1 - Assigning a unique DOI combined with ORCID for each event in a community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hd w:fill="ffffff" w:val="clear"/>
        <w:spacing w:after="0" w:afterAutospacing="0" w:before="280" w:lineRule="auto"/>
        <w:ind w:left="1200" w:hanging="360"/>
        <w:rPr>
          <w:rFonts w:ascii="Lora" w:cs="Lora" w:eastAsia="Lora" w:hAnsi="Lora"/>
          <w:sz w:val="22"/>
          <w:szCs w:val="22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Summarise the strategy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1200" w:hanging="360"/>
        <w:rPr>
          <w:rFonts w:ascii="Lora" w:cs="Lora" w:eastAsia="Lora" w:hAnsi="Lora"/>
          <w:sz w:val="22"/>
          <w:szCs w:val="22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What is the main benefit?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hd w:fill="ffffff" w:val="clear"/>
        <w:spacing w:after="280" w:before="0" w:beforeAutospacing="0" w:lineRule="auto"/>
        <w:ind w:left="1200" w:hanging="360"/>
        <w:rPr>
          <w:rFonts w:ascii="Lora" w:cs="Lora" w:eastAsia="Lora" w:hAnsi="Lora"/>
          <w:sz w:val="22"/>
          <w:szCs w:val="22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Are there any drawbacks?</w:t>
      </w:r>
    </w:p>
    <w:p w:rsidR="00000000" w:rsidDel="00000000" w:rsidP="00000000" w:rsidRDefault="00000000" w:rsidRPr="00000000" w14:paraId="00000014">
      <w:pPr>
        <w:shd w:fill="ffffff" w:val="clear"/>
        <w:spacing w:after="280" w:before="280" w:lineRule="auto"/>
        <w:ind w:left="0" w:firstLine="0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Lora" w:cs="Lora" w:eastAsia="Lora" w:hAnsi="Lora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Fonts w:ascii="Lora" w:cs="Lora" w:eastAsia="Lora" w:hAnsi="Lora"/>
          <w:b w:val="1"/>
          <w:sz w:val="26"/>
          <w:szCs w:val="26"/>
          <w:rtl w:val="0"/>
        </w:rPr>
        <w:t xml:space="preserve">Case 2 - Creating virtual collections of training materials and assigning own PIDs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hd w:fill="ffffff" w:val="clear"/>
        <w:spacing w:after="0" w:afterAutospacing="0" w:before="280" w:lineRule="auto"/>
        <w:ind w:left="1440" w:hanging="360"/>
        <w:rPr>
          <w:rFonts w:ascii="Lora" w:cs="Lora" w:eastAsia="Lora" w:hAnsi="Lora"/>
          <w:sz w:val="22"/>
          <w:szCs w:val="22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Summarise the strategy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1440" w:hanging="360"/>
        <w:rPr>
          <w:rFonts w:ascii="Lora" w:cs="Lora" w:eastAsia="Lora" w:hAnsi="Lora"/>
          <w:sz w:val="22"/>
          <w:szCs w:val="22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What is the main benefit?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hd w:fill="ffffff" w:val="clear"/>
        <w:spacing w:after="280" w:before="0" w:beforeAutospacing="0" w:lineRule="auto"/>
        <w:ind w:left="1440" w:hanging="360"/>
        <w:rPr>
          <w:rFonts w:ascii="Lora" w:cs="Lora" w:eastAsia="Lora" w:hAnsi="Lora"/>
          <w:sz w:val="22"/>
          <w:szCs w:val="22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Are there any drawbacks?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Lora" w:cs="Lora" w:eastAsia="Lora" w:hAnsi="Lora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Lora" w:cs="Lora" w:eastAsia="Lora" w:hAnsi="Lora"/>
          <w:sz w:val="26"/>
          <w:szCs w:val="26"/>
        </w:rPr>
      </w:pPr>
      <w:r w:rsidDel="00000000" w:rsidR="00000000" w:rsidRPr="00000000">
        <w:rPr>
          <w:rFonts w:ascii="Lora" w:cs="Lora" w:eastAsia="Lora" w:hAnsi="Lora"/>
          <w:b w:val="1"/>
          <w:sz w:val="26"/>
          <w:szCs w:val="26"/>
          <w:rtl w:val="0"/>
        </w:rPr>
        <w:t xml:space="preserve">Case 3 - Separate DOIs for mixing and matching in a community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hd w:fill="ffffff" w:val="clear"/>
        <w:spacing w:after="0" w:afterAutospacing="0" w:before="280" w:lineRule="auto"/>
        <w:ind w:left="1440" w:hanging="360"/>
        <w:rPr>
          <w:rFonts w:ascii="Lora" w:cs="Lora" w:eastAsia="Lora" w:hAnsi="Lora"/>
          <w:sz w:val="22"/>
          <w:szCs w:val="22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Summarise the strategy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1440" w:hanging="360"/>
        <w:rPr>
          <w:rFonts w:ascii="Lora" w:cs="Lora" w:eastAsia="Lora" w:hAnsi="Lora"/>
          <w:sz w:val="22"/>
          <w:szCs w:val="22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What is the main benefit?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hd w:fill="ffffff" w:val="clear"/>
        <w:spacing w:after="280" w:before="0" w:beforeAutospacing="0" w:lineRule="auto"/>
        <w:ind w:left="1440" w:hanging="360"/>
        <w:rPr>
          <w:rFonts w:ascii="Lora" w:cs="Lora" w:eastAsia="Lora" w:hAnsi="Lora"/>
          <w:sz w:val="22"/>
          <w:szCs w:val="22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Are there any drawbacks?</w:t>
      </w:r>
    </w:p>
    <w:p w:rsidR="00000000" w:rsidDel="00000000" w:rsidP="00000000" w:rsidRDefault="00000000" w:rsidRPr="00000000" w14:paraId="0000001F">
      <w:pPr>
        <w:shd w:fill="ffffff" w:val="clear"/>
        <w:spacing w:after="280" w:before="280" w:lineRule="auto"/>
        <w:ind w:left="2160" w:firstLine="0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La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ora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 Black">
    <w:embedBold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2">
    <w:pPr>
      <w:ind w:left="2160" w:firstLine="0"/>
      <w:rPr/>
    </w:pPr>
    <w:r w:rsidDel="00000000" w:rsidR="00000000" w:rsidRPr="00000000">
      <w:rPr>
        <w:rFonts w:ascii="Lato Light" w:cs="Lato Light" w:eastAsia="Lato Light" w:hAnsi="Lato Light"/>
        <w:sz w:val="16"/>
        <w:szCs w:val="16"/>
        <w:rtl w:val="0"/>
      </w:rPr>
      <w:t xml:space="preserve">Cite worksheet  as:  Alexander Botzki, Ineke Luijten, Elin Kronander (2025) </w:t>
    </w:r>
    <w:r w:rsidDel="00000000" w:rsidR="00000000" w:rsidRPr="00000000">
      <w:rPr>
        <w:rFonts w:ascii="Lato Light" w:cs="Lato Light" w:eastAsia="Lato Light" w:hAnsi="Lato Light"/>
        <w:i w:val="1"/>
        <w:sz w:val="16"/>
        <w:szCs w:val="16"/>
        <w:rtl w:val="0"/>
      </w:rPr>
      <w:t xml:space="preserve">Releases and use of unique identifiers – shared notes (Session 8)</w:t>
    </w:r>
    <w:r w:rsidDel="00000000" w:rsidR="00000000" w:rsidRPr="00000000">
      <w:rPr>
        <w:rFonts w:ascii="Lato Light" w:cs="Lato Light" w:eastAsia="Lato Light" w:hAnsi="Lato Light"/>
        <w:sz w:val="16"/>
        <w:szCs w:val="16"/>
        <w:rtl w:val="0"/>
      </w:rPr>
      <w:t xml:space="preserve">. In course: </w:t>
    </w:r>
    <w:r w:rsidDel="00000000" w:rsidR="00000000" w:rsidRPr="00000000">
      <w:rPr>
        <w:rFonts w:ascii="Lato Light" w:cs="Lato Light" w:eastAsia="Lato Light" w:hAnsi="Lato Light"/>
        <w:i w:val="1"/>
        <w:sz w:val="16"/>
        <w:szCs w:val="16"/>
        <w:rtl w:val="0"/>
      </w:rPr>
      <w:t xml:space="preserve">Training material made FAIR by design</w:t>
    </w:r>
    <w:r w:rsidDel="00000000" w:rsidR="00000000" w:rsidRPr="00000000">
      <w:rPr>
        <w:rFonts w:ascii="Lato Light" w:cs="Lato Light" w:eastAsia="Lato Light" w:hAnsi="Lato Light"/>
        <w:sz w:val="16"/>
        <w:szCs w:val="16"/>
        <w:rtl w:val="0"/>
      </w:rPr>
      <w:t xml:space="preserve">, organized by: VIB, SciLifeLab, NBIS. Available under a CC BY 4.0 license. https://doi.org/10.5281/zenodo.14987327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19050" distT="19050" distL="19050" distR="19050" hidden="0" layoutInCell="1" locked="0" relativeHeight="0" simplePos="0">
          <wp:simplePos x="0" y="0"/>
          <wp:positionH relativeFrom="column">
            <wp:posOffset>19050</wp:posOffset>
          </wp:positionH>
          <wp:positionV relativeFrom="paragraph">
            <wp:posOffset>19050</wp:posOffset>
          </wp:positionV>
          <wp:extent cx="1006040" cy="351425"/>
          <wp:effectExtent b="0" l="0" r="0" t="0"/>
          <wp:wrapNone/>
          <wp:docPr id="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6040" cy="35142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Lato" w:cs="Lato" w:eastAsia="Lato" w:hAnsi="Lato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Lato" w:cs="Lato" w:eastAsia="Lato" w:hAnsi="Lato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rFonts w:ascii="Lato" w:cs="Lato" w:eastAsia="Lato" w:hAnsi="Lato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rFonts w:ascii="Lato" w:cs="Lato" w:eastAsia="Lato" w:hAnsi="Lato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elixir-europe-training/ELIXIR-TrP-FAIR-training-handbook/blob/main/LICENSE.md" TargetMode="External"/><Relationship Id="rId10" Type="http://schemas.openxmlformats.org/officeDocument/2006/relationships/hyperlink" Target="https://elixir-europe-training.github.io/ELIXIR-TrP-FAIR-training-handbook/contributor_list/" TargetMode="External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lixir-europe-training.github.io/ELIXIR-TrP-FAIR-training-handbook/chapters/chapter_05/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Lora-italic.ttf"/><Relationship Id="rId10" Type="http://schemas.openxmlformats.org/officeDocument/2006/relationships/font" Target="fonts/Lora-bold.ttf"/><Relationship Id="rId13" Type="http://schemas.openxmlformats.org/officeDocument/2006/relationships/font" Target="fonts/LatoBlack-bold.ttf"/><Relationship Id="rId12" Type="http://schemas.openxmlformats.org/officeDocument/2006/relationships/font" Target="fonts/Lora-boldItalic.ttf"/><Relationship Id="rId1" Type="http://schemas.openxmlformats.org/officeDocument/2006/relationships/font" Target="fonts/Lato-regular.ttf"/><Relationship Id="rId2" Type="http://schemas.openxmlformats.org/officeDocument/2006/relationships/font" Target="fonts/Lato-bold.ttf"/><Relationship Id="rId3" Type="http://schemas.openxmlformats.org/officeDocument/2006/relationships/font" Target="fonts/Lato-italic.ttf"/><Relationship Id="rId4" Type="http://schemas.openxmlformats.org/officeDocument/2006/relationships/font" Target="fonts/Lato-boldItalic.ttf"/><Relationship Id="rId9" Type="http://schemas.openxmlformats.org/officeDocument/2006/relationships/font" Target="fonts/Lora-regular.ttf"/><Relationship Id="rId14" Type="http://schemas.openxmlformats.org/officeDocument/2006/relationships/font" Target="fonts/LatoBlack-boldItalic.ttf"/><Relationship Id="rId5" Type="http://schemas.openxmlformats.org/officeDocument/2006/relationships/font" Target="fonts/LatoLight-regular.ttf"/><Relationship Id="rId6" Type="http://schemas.openxmlformats.org/officeDocument/2006/relationships/font" Target="fonts/LatoLight-bold.ttf"/><Relationship Id="rId7" Type="http://schemas.openxmlformats.org/officeDocument/2006/relationships/font" Target="fonts/LatoLight-italic.ttf"/><Relationship Id="rId8" Type="http://schemas.openxmlformats.org/officeDocument/2006/relationships/font" Target="fonts/LatoLight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