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2156" w:rsidRDefault="00A22156" w:rsidP="00A22156">
      <w:pPr>
        <w:jc w:val="right"/>
        <w:rPr>
          <w:rtl/>
        </w:rPr>
      </w:pPr>
      <w:r>
        <w:rPr>
          <w:rFonts w:hint="cs"/>
          <w:rtl/>
        </w:rPr>
        <w:t xml:space="preserve">מגישים: </w:t>
      </w:r>
    </w:p>
    <w:p w:rsidR="00B84F46" w:rsidRDefault="00A22156" w:rsidP="00A22156">
      <w:pPr>
        <w:jc w:val="right"/>
        <w:rPr>
          <w:rtl/>
        </w:rPr>
      </w:pPr>
      <w:r>
        <w:rPr>
          <w:rFonts w:hint="cs"/>
          <w:rtl/>
        </w:rPr>
        <w:t>אליהו לוי 302841341</w:t>
      </w:r>
    </w:p>
    <w:p w:rsidR="00A22156" w:rsidRDefault="00A22156" w:rsidP="00A22156">
      <w:pPr>
        <w:jc w:val="right"/>
        <w:rPr>
          <w:rFonts w:ascii="Calibri" w:hAnsi="Calibri" w:cs="Calibri"/>
          <w:color w:val="000000"/>
          <w:shd w:val="clear" w:color="auto" w:fill="FFFFFF"/>
          <w:rtl/>
        </w:rPr>
      </w:pPr>
      <w:r>
        <w:rPr>
          <w:rtl/>
        </w:rPr>
        <w:tab/>
      </w:r>
      <w:r>
        <w:rPr>
          <w:rFonts w:hint="cs"/>
          <w:rtl/>
        </w:rPr>
        <w:t xml:space="preserve">301765863 </w:t>
      </w:r>
      <w:r>
        <w:rPr>
          <w:rFonts w:ascii="Calibri" w:hAnsi="Calibri" w:cs="Calibri"/>
          <w:color w:val="000000"/>
          <w:shd w:val="clear" w:color="auto" w:fill="FFFFFF"/>
        </w:rPr>
        <w:t> </w:t>
      </w:r>
      <w:r>
        <w:rPr>
          <w:rFonts w:ascii="Calibri" w:hAnsi="Calibri" w:cs="Calibri" w:hint="cs"/>
          <w:color w:val="000000"/>
          <w:shd w:val="clear" w:color="auto" w:fill="FFFFFF"/>
          <w:rtl/>
        </w:rPr>
        <w:t>יוחאי מור</w:t>
      </w:r>
    </w:p>
    <w:p w:rsidR="00A22156" w:rsidRDefault="00A22156" w:rsidP="00A22156">
      <w:pPr>
        <w:jc w:val="right"/>
        <w:rPr>
          <w:rtl/>
        </w:rPr>
      </w:pPr>
    </w:p>
    <w:p w:rsidR="00A22156" w:rsidRDefault="00A22156" w:rsidP="00A22156">
      <w:pPr>
        <w:jc w:val="center"/>
        <w:rPr>
          <w:b/>
          <w:bCs/>
          <w:sz w:val="32"/>
          <w:szCs w:val="32"/>
          <w:rtl/>
        </w:rPr>
      </w:pPr>
      <w:r w:rsidRPr="00A22156">
        <w:rPr>
          <w:rFonts w:hint="cs"/>
          <w:b/>
          <w:bCs/>
          <w:sz w:val="32"/>
          <w:szCs w:val="32"/>
          <w:rtl/>
        </w:rPr>
        <w:t>תרגיל בית 4</w:t>
      </w:r>
    </w:p>
    <w:p w:rsidR="00A22156" w:rsidRDefault="002E5D23" w:rsidP="00A22156">
      <w:pPr>
        <w:jc w:val="right"/>
        <w:rPr>
          <w:rtl/>
        </w:rPr>
      </w:pPr>
      <w:r>
        <w:rPr>
          <w:rFonts w:hint="cs"/>
          <w:rtl/>
        </w:rPr>
        <w:t xml:space="preserve"> סימטרית עם סטיית תקן שנקבעת לפי תנודתיות.</w:t>
      </w:r>
      <w:r>
        <w:t>VIX</w:t>
      </w:r>
      <w:r w:rsidR="00A22156">
        <w:rPr>
          <w:rFonts w:hint="cs"/>
          <w:rtl/>
        </w:rPr>
        <w:t xml:space="preserve">. 1. </w:t>
      </w:r>
      <w:r>
        <w:rPr>
          <w:rFonts w:hint="cs"/>
          <w:rtl/>
        </w:rPr>
        <w:t xml:space="preserve">האסטרטגיה מתבססת על רעיון בניית מעטפת </w:t>
      </w:r>
      <w:r w:rsidR="00A22156">
        <w:rPr>
          <w:rFonts w:hint="cs"/>
        </w:rPr>
        <w:t>A</w:t>
      </w:r>
    </w:p>
    <w:p w:rsidR="00D84502" w:rsidRDefault="00D84502" w:rsidP="00A22156">
      <w:pPr>
        <w:jc w:val="right"/>
        <w:rPr>
          <w:rtl/>
        </w:rPr>
      </w:pPr>
      <w:r>
        <w:rPr>
          <w:rFonts w:hint="cs"/>
          <w:rtl/>
        </w:rPr>
        <w:t>ערכים גבוהים של המדד מצביעים על מגמת עלייה וערכים נמוכים על מגמת ירידה.</w:t>
      </w:r>
    </w:p>
    <w:p w:rsidR="00D84502" w:rsidRDefault="00D84502" w:rsidP="00A22156">
      <w:pPr>
        <w:jc w:val="right"/>
        <w:rPr>
          <w:rtl/>
        </w:rPr>
      </w:pPr>
      <w:r>
        <w:rPr>
          <w:rFonts w:hint="cs"/>
          <w:rtl/>
        </w:rPr>
        <w:t>תנאי כניסה ויציאה:</w:t>
      </w:r>
    </w:p>
    <w:p w:rsidR="00D84502" w:rsidRDefault="004E7977" w:rsidP="00A22156">
      <w:pPr>
        <w:jc w:val="right"/>
      </w:pPr>
      <w:r>
        <w:t>(</w:t>
      </w:r>
      <w:r w:rsidR="00D84502">
        <w:t xml:space="preserve">Top </w:t>
      </w:r>
      <w:r>
        <w:t>band</w:t>
      </w:r>
      <w:r w:rsidR="00D84502">
        <w:rPr>
          <w:rFonts w:hint="cs"/>
          <w:rtl/>
        </w:rPr>
        <w:t xml:space="preserve">כניסה לפוזיציה ארוכה: ניכנס לפוזיציה כזו כאשר נחצה את הגבול </w:t>
      </w:r>
      <w:r>
        <w:rPr>
          <w:rFonts w:hint="cs"/>
          <w:rtl/>
        </w:rPr>
        <w:t xml:space="preserve">העליון </w:t>
      </w:r>
      <w:r w:rsidR="00D84502">
        <w:rPr>
          <w:rFonts w:hint="cs"/>
          <w:rtl/>
        </w:rPr>
        <w:t xml:space="preserve">של המעטפת (חוצה את ה </w:t>
      </w:r>
    </w:p>
    <w:p w:rsidR="004E7977" w:rsidRDefault="004E7977" w:rsidP="00A22156">
      <w:pPr>
        <w:jc w:val="right"/>
      </w:pPr>
      <w:r>
        <w:t>(Low band</w:t>
      </w:r>
      <w:r>
        <w:rPr>
          <w:rFonts w:hint="cs"/>
          <w:rtl/>
        </w:rPr>
        <w:t xml:space="preserve">כניסה לפוזיציה קצרה: ניכנס לפוזיציה כזו כאשר נחצה את הגבול התחתון של המעטפת (חוצה את ה </w:t>
      </w:r>
    </w:p>
    <w:p w:rsidR="004E7977" w:rsidRDefault="004E7977" w:rsidP="004E7977">
      <w:pPr>
        <w:jc w:val="right"/>
        <w:rPr>
          <w:rtl/>
        </w:rPr>
      </w:pPr>
      <w:r>
        <w:rPr>
          <w:rFonts w:hint="cs"/>
          <w:rtl/>
        </w:rPr>
        <w:t>יציאה מפוזיציה ארוכה: נצא מפוזיציה ארוכה לאחר פרק זמן מינימלי באחזקת הפוזיציה (ערך מובנה 5 ברים) וגם הבר הנוכחי הוא הנמוך ביותר ממספר הברים שהוגדר (ערך מובנה 2).</w:t>
      </w:r>
    </w:p>
    <w:p w:rsidR="004E7977" w:rsidRDefault="004E7977" w:rsidP="004E7977">
      <w:pPr>
        <w:jc w:val="right"/>
      </w:pPr>
      <w:r>
        <w:rPr>
          <w:rFonts w:hint="cs"/>
          <w:rtl/>
        </w:rPr>
        <w:t>יציאה מפוזיציה קצרה: נצא מפוזיציה ארוכה לאחר פרק זמן מינימלי באחזקת הפוזיציה (ערך מובנה 5 ברים) וגם הבר הנוכחי הוא הגבוה ביותר ממספר הברים שהוגדר (ערך מובנה 2).</w:t>
      </w:r>
    </w:p>
    <w:p w:rsidR="008616C9" w:rsidRDefault="008616C9" w:rsidP="004E7977">
      <w:pPr>
        <w:jc w:val="right"/>
      </w:pPr>
    </w:p>
    <w:p w:rsidR="008616C9" w:rsidRDefault="008616C9" w:rsidP="004E7977">
      <w:pPr>
        <w:jc w:val="right"/>
      </w:pPr>
    </w:p>
    <w:p w:rsidR="008616C9" w:rsidRDefault="008616C9" w:rsidP="004E7977">
      <w:pPr>
        <w:jc w:val="right"/>
      </w:pPr>
    </w:p>
    <w:p w:rsidR="003B08F7" w:rsidRDefault="009A76E7" w:rsidP="004E7977">
      <w:pPr>
        <w:jc w:val="right"/>
      </w:pPr>
      <w:r>
        <w:rPr>
          <w:rFonts w:hint="cs"/>
          <w:rtl/>
        </w:rPr>
        <w:t xml:space="preserve"> מכוונת להשגת תשואה, המקבילה (לפני עמלות והוצאות ניהול) לערך ותשואה של מדד </w:t>
      </w:r>
      <w:r>
        <w:t>IWM</w:t>
      </w:r>
      <w:r w:rsidR="003B08F7">
        <w:rPr>
          <w:rFonts w:hint="cs"/>
          <w:rtl/>
        </w:rPr>
        <w:t xml:space="preserve">2. </w:t>
      </w:r>
      <w:r>
        <w:rPr>
          <w:rFonts w:hint="cs"/>
          <w:rtl/>
        </w:rPr>
        <w:t xml:space="preserve">תעודת הסל </w:t>
      </w:r>
    </w:p>
    <w:p w:rsidR="00D84502" w:rsidRDefault="009A76E7" w:rsidP="00A22156">
      <w:pPr>
        <w:jc w:val="right"/>
        <w:rPr>
          <w:rtl/>
        </w:rPr>
      </w:pPr>
      <w:r>
        <w:rPr>
          <w:rFonts w:hint="cs"/>
          <w:rtl/>
        </w:rPr>
        <w:t>. המדד כולל חברות בעלות שווי שוק נמוך במונחי שוק ההון האמריקאי. תעודת הסל משקיעה</w:t>
      </w:r>
      <w:r>
        <w:t>Russel 2000</w:t>
      </w:r>
    </w:p>
    <w:p w:rsidR="00D84502" w:rsidRDefault="009A76E7" w:rsidP="00A22156">
      <w:pPr>
        <w:jc w:val="right"/>
        <w:rPr>
          <w:rtl/>
        </w:rPr>
      </w:pPr>
      <w:r>
        <w:rPr>
          <w:rFonts w:hint="cs"/>
          <w:rtl/>
        </w:rPr>
        <w:t xml:space="preserve"> ומשתמשת באסטרטגיית דגימה</w:t>
      </w:r>
      <w:r>
        <w:t>Russel 3000</w:t>
      </w:r>
      <w:r>
        <w:rPr>
          <w:rFonts w:hint="cs"/>
          <w:rtl/>
        </w:rPr>
        <w:t xml:space="preserve">ב- 2000 החברות בעלות שווי השוק הנמוך ביותר מתוך מדד ה </w:t>
      </w:r>
      <w:r>
        <w:rPr>
          <w:rtl/>
        </w:rPr>
        <w:t>–</w:t>
      </w:r>
      <w:r>
        <w:rPr>
          <w:rFonts w:hint="cs"/>
          <w:rtl/>
        </w:rPr>
        <w:t xml:space="preserve"> </w:t>
      </w:r>
    </w:p>
    <w:p w:rsidR="009A76E7" w:rsidRDefault="009A76E7" w:rsidP="00A22156">
      <w:pPr>
        <w:jc w:val="right"/>
      </w:pPr>
      <w:r>
        <w:rPr>
          <w:rFonts w:hint="cs"/>
          <w:rtl/>
        </w:rPr>
        <w:t>מייצגת על מנת לעקוב אחרי המדד.</w:t>
      </w:r>
    </w:p>
    <w:p w:rsidR="008616C9" w:rsidRDefault="008616C9" w:rsidP="00A22156">
      <w:pPr>
        <w:jc w:val="right"/>
      </w:pPr>
    </w:p>
    <w:p w:rsidR="008616C9" w:rsidRDefault="008616C9" w:rsidP="00A22156">
      <w:pPr>
        <w:jc w:val="right"/>
      </w:pPr>
    </w:p>
    <w:p w:rsidR="008616C9" w:rsidRDefault="008616C9" w:rsidP="003B3842"/>
    <w:p w:rsidR="003B3842" w:rsidRDefault="003B3842" w:rsidP="003B3842">
      <w:pPr>
        <w:rPr>
          <w:rtl/>
        </w:rPr>
      </w:pPr>
    </w:p>
    <w:p w:rsidR="009A76E7" w:rsidRDefault="008616C9" w:rsidP="00A22156">
      <w:pPr>
        <w:jc w:val="right"/>
      </w:pPr>
      <w:r>
        <w:rPr>
          <w:noProof/>
          <w:rtl/>
          <w:lang w:val="he-IL"/>
        </w:rPr>
        <w:lastRenderedPageBreak/>
        <w:drawing>
          <wp:anchor distT="0" distB="0" distL="114300" distR="114300" simplePos="0" relativeHeight="251658240" behindDoc="0" locked="0" layoutInCell="1" allowOverlap="1">
            <wp:simplePos x="0" y="0"/>
            <wp:positionH relativeFrom="margin">
              <wp:align>right</wp:align>
            </wp:positionH>
            <wp:positionV relativeFrom="paragraph">
              <wp:posOffset>294640</wp:posOffset>
            </wp:positionV>
            <wp:extent cx="5943600" cy="1106805"/>
            <wp:effectExtent l="0" t="0" r="0" b="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6).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106805"/>
                    </a:xfrm>
                    <a:prstGeom prst="rect">
                      <a:avLst/>
                    </a:prstGeom>
                  </pic:spPr>
                </pic:pic>
              </a:graphicData>
            </a:graphic>
          </wp:anchor>
        </w:drawing>
      </w:r>
      <w:r w:rsidR="009A76E7">
        <w:rPr>
          <w:rFonts w:hint="cs"/>
          <w:rtl/>
        </w:rPr>
        <w:t>3.</w:t>
      </w:r>
    </w:p>
    <w:p w:rsidR="008616C9" w:rsidRDefault="008616C9" w:rsidP="00A22156">
      <w:pPr>
        <w:jc w:val="right"/>
        <w:rPr>
          <w:rtl/>
        </w:rPr>
      </w:pPr>
      <w:r>
        <w:rPr>
          <w:noProof/>
          <w:rtl/>
          <w:lang w:val="he-IL"/>
        </w:rPr>
        <w:drawing>
          <wp:anchor distT="0" distB="0" distL="114300" distR="114300" simplePos="0" relativeHeight="251659264" behindDoc="0" locked="0" layoutInCell="1" allowOverlap="1">
            <wp:simplePos x="0" y="0"/>
            <wp:positionH relativeFrom="margin">
              <wp:align>right</wp:align>
            </wp:positionH>
            <wp:positionV relativeFrom="paragraph">
              <wp:posOffset>1527810</wp:posOffset>
            </wp:positionV>
            <wp:extent cx="5943600" cy="4631690"/>
            <wp:effectExtent l="0" t="0" r="0" b="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7).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631690"/>
                    </a:xfrm>
                    <a:prstGeom prst="rect">
                      <a:avLst/>
                    </a:prstGeom>
                  </pic:spPr>
                </pic:pic>
              </a:graphicData>
            </a:graphic>
          </wp:anchor>
        </w:drawing>
      </w:r>
    </w:p>
    <w:p w:rsidR="009A76E7" w:rsidRDefault="009A76E7" w:rsidP="00A22156">
      <w:pPr>
        <w:jc w:val="right"/>
        <w:rPr>
          <w:rtl/>
        </w:rPr>
      </w:pPr>
    </w:p>
    <w:p w:rsidR="003B3842" w:rsidRDefault="003B3842" w:rsidP="003B3842">
      <w:pPr>
        <w:jc w:val="right"/>
        <w:rPr>
          <w:rtl/>
        </w:rPr>
      </w:pPr>
      <w:r>
        <w:rPr>
          <w:rFonts w:hint="cs"/>
          <w:rtl/>
        </w:rPr>
        <w:t xml:space="preserve">פרמטרים לניתוח: </w:t>
      </w:r>
    </w:p>
    <w:p w:rsidR="003B3842" w:rsidRDefault="003B3842" w:rsidP="003B3842">
      <w:pPr>
        <w:pStyle w:val="a3"/>
        <w:jc w:val="right"/>
        <w:rPr>
          <w:rtl/>
        </w:rPr>
      </w:pPr>
      <w:r>
        <w:rPr>
          <w:rFonts w:hint="cs"/>
          <w:rtl/>
        </w:rPr>
        <w:t>1.רווח לעומת הפסד</w:t>
      </w:r>
    </w:p>
    <w:p w:rsidR="003B3842" w:rsidRDefault="003B3842" w:rsidP="003B3842">
      <w:pPr>
        <w:pStyle w:val="a3"/>
        <w:jc w:val="right"/>
      </w:pPr>
      <w:proofErr w:type="spellStart"/>
      <w:r>
        <w:t>Backtesting</w:t>
      </w:r>
      <w:proofErr w:type="spellEnd"/>
      <w:r>
        <w:rPr>
          <w:rFonts w:hint="cs"/>
          <w:rtl/>
        </w:rPr>
        <w:t xml:space="preserve">2. </w:t>
      </w:r>
    </w:p>
    <w:p w:rsidR="003B3842" w:rsidRDefault="003B3842" w:rsidP="003B3842">
      <w:pPr>
        <w:pStyle w:val="a3"/>
        <w:jc w:val="right"/>
        <w:rPr>
          <w:rtl/>
        </w:rPr>
      </w:pPr>
      <w:r>
        <w:rPr>
          <w:rFonts w:hint="cs"/>
          <w:rtl/>
        </w:rPr>
        <w:t xml:space="preserve">3. הפרמטרים של </w:t>
      </w:r>
      <w:r w:rsidR="00783298">
        <w:rPr>
          <w:rFonts w:hint="cs"/>
          <w:rtl/>
        </w:rPr>
        <w:t>האסטרטגיה</w:t>
      </w:r>
    </w:p>
    <w:p w:rsidR="003B3842" w:rsidRDefault="003B3842" w:rsidP="003B3842">
      <w:pPr>
        <w:pStyle w:val="a3"/>
        <w:jc w:val="right"/>
        <w:rPr>
          <w:rtl/>
        </w:rPr>
      </w:pPr>
      <w:r>
        <w:rPr>
          <w:rFonts w:hint="cs"/>
          <w:rtl/>
        </w:rPr>
        <w:t>4.פוזיציות ארוכות לעומת קצרות</w:t>
      </w:r>
    </w:p>
    <w:p w:rsidR="003B3842" w:rsidRDefault="003B3842" w:rsidP="003B3842">
      <w:pPr>
        <w:pStyle w:val="a3"/>
        <w:jc w:val="right"/>
      </w:pPr>
      <w:r>
        <w:t xml:space="preserve">Trade </w:t>
      </w:r>
      <w:r>
        <w:rPr>
          <w:rFonts w:hint="cs"/>
          <w:rtl/>
        </w:rPr>
        <w:t xml:space="preserve">5. רווח ממוצע פר </w:t>
      </w:r>
    </w:p>
    <w:p w:rsidR="009A76E7" w:rsidRDefault="005C4241" w:rsidP="00A22156">
      <w:pPr>
        <w:jc w:val="right"/>
        <w:rPr>
          <w:rtl/>
        </w:rPr>
      </w:pPr>
      <w:r>
        <w:rPr>
          <w:rFonts w:hint="cs"/>
          <w:rtl/>
        </w:rPr>
        <w:lastRenderedPageBreak/>
        <w:t xml:space="preserve"> מציג את השינוי לאורך התקופה, עליה קבועה של הגרף נותנת לנו אינדיקציה שהאסטרטגיה </w:t>
      </w:r>
      <w:proofErr w:type="spellStart"/>
      <w:r>
        <w:t>Equinty</w:t>
      </w:r>
      <w:proofErr w:type="spellEnd"/>
      <w:r>
        <w:t xml:space="preserve"> curve</w:t>
      </w:r>
      <w:r w:rsidR="00E778CD">
        <w:t xml:space="preserve"> </w:t>
      </w:r>
      <w:r w:rsidR="00E778CD">
        <w:rPr>
          <w:rFonts w:hint="cs"/>
          <w:rtl/>
        </w:rPr>
        <w:t xml:space="preserve">גרף </w:t>
      </w:r>
      <w:r>
        <w:rPr>
          <w:rFonts w:hint="cs"/>
          <w:rtl/>
        </w:rPr>
        <w:t xml:space="preserve">רווחית. לפי הגרף ונתוני הדוח ניתן לראות שלאורך 15 השנים 2003-2018 האסטרטגיה רווחית (56,780$) בנטו. אבל כשיורדים לפרטים ניתן לראות שהאסטרטגיה מפסידה הרבה, כמעט 70% מפוזיציות ארוכות ו 66% מפוזיציות קצרות. עוד דבר מעניין הוא שבפוזיציות ארוכות הרווח הוא יותר מפי 3. </w:t>
      </w:r>
    </w:p>
    <w:p w:rsidR="005C4241" w:rsidRDefault="005C4241" w:rsidP="00A22156">
      <w:pPr>
        <w:jc w:val="right"/>
        <w:rPr>
          <w:rtl/>
        </w:rPr>
      </w:pPr>
      <w:r>
        <w:rPr>
          <w:rFonts w:hint="cs"/>
          <w:rtl/>
        </w:rPr>
        <w:t xml:space="preserve">הרווח הנקי </w:t>
      </w:r>
      <w:r w:rsidR="00221773">
        <w:rPr>
          <w:rFonts w:hint="cs"/>
          <w:rtl/>
        </w:rPr>
        <w:t xml:space="preserve">הממוצע </w:t>
      </w:r>
      <w:r>
        <w:rPr>
          <w:rFonts w:hint="cs"/>
          <w:rtl/>
        </w:rPr>
        <w:t xml:space="preserve">פר מסחר הוא 420$ </w:t>
      </w:r>
      <w:r w:rsidR="00221773">
        <w:rPr>
          <w:rFonts w:hint="cs"/>
          <w:rtl/>
        </w:rPr>
        <w:t>וההפסד הממוצע הוא קצת יותר מ2/3 שזה המון, נשפר את זה בסעיף הבא.</w:t>
      </w: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roofErr w:type="gramStart"/>
      <w:r>
        <w:lastRenderedPageBreak/>
        <w:t>.B</w:t>
      </w:r>
      <w:proofErr w:type="gramEnd"/>
    </w:p>
    <w:p w:rsidR="009A76E7" w:rsidRDefault="00221773" w:rsidP="00A22156">
      <w:pPr>
        <w:jc w:val="right"/>
        <w:rPr>
          <w:rtl/>
        </w:rPr>
      </w:pPr>
      <w:r>
        <w:rPr>
          <w:rFonts w:hint="cs"/>
          <w:rtl/>
        </w:rPr>
        <w:t xml:space="preserve">4. </w:t>
      </w:r>
      <w:r w:rsidR="00364E36">
        <w:rPr>
          <w:rFonts w:hint="cs"/>
          <w:rtl/>
        </w:rPr>
        <w:t>ביצענו אופטימיזציה על הפרמטרים:</w:t>
      </w:r>
    </w:p>
    <w:p w:rsidR="00364E36" w:rsidRDefault="00364E36" w:rsidP="00364E36">
      <w:pPr>
        <w:jc w:val="right"/>
      </w:pPr>
      <w:proofErr w:type="spellStart"/>
      <w:r>
        <w:t>Min_Long_Hold</w:t>
      </w:r>
      <w:proofErr w:type="spellEnd"/>
      <w:r>
        <w:t xml:space="preserve"> &amp; </w:t>
      </w:r>
      <w:proofErr w:type="spellStart"/>
      <w:r>
        <w:t>Sample_Size</w:t>
      </w:r>
      <w:proofErr w:type="spellEnd"/>
    </w:p>
    <w:p w:rsidR="00364E36" w:rsidRDefault="00364E36" w:rsidP="00364E36">
      <w:pPr>
        <w:jc w:val="right"/>
      </w:pPr>
      <w:proofErr w:type="spellStart"/>
      <w:r>
        <w:t>Min_Long_Short</w:t>
      </w:r>
      <w:proofErr w:type="spellEnd"/>
      <w:r>
        <w:t xml:space="preserve"> &amp; </w:t>
      </w:r>
      <w:proofErr w:type="spellStart"/>
      <w:r>
        <w:t>Sample_Size</w:t>
      </w:r>
      <w:proofErr w:type="spellEnd"/>
    </w:p>
    <w:p w:rsidR="00364E36" w:rsidRDefault="00364E36" w:rsidP="00364E36">
      <w:pPr>
        <w:jc w:val="right"/>
        <w:rPr>
          <w:rtl/>
        </w:rPr>
      </w:pPr>
      <w:r>
        <w:rPr>
          <w:rFonts w:hint="cs"/>
          <w:rtl/>
        </w:rPr>
        <w:t>עבור גודל הדגימה נתנו את הערכים 1-40 עם קפיצות של 5 כמו שהוזכר בכיתה זה אורכי הממוצעים הנעים בדרך כלל. שמנו לב שבסעיף הקודם, פוזיציות ארוכות נתנו יותר רווח, ופוזיציות קצרות נתנו רווח מועט</w:t>
      </w:r>
      <w:r w:rsidR="00BE7D6A">
        <w:rPr>
          <w:rFonts w:hint="cs"/>
          <w:rtl/>
        </w:rPr>
        <w:t>.</w:t>
      </w:r>
      <w:r>
        <w:rPr>
          <w:rFonts w:hint="cs"/>
          <w:rtl/>
        </w:rPr>
        <w:t xml:space="preserve"> לכן בחרנו עבור</w:t>
      </w:r>
      <w:r w:rsidR="00BE7D6A">
        <w:rPr>
          <w:rFonts w:hint="cs"/>
          <w:rtl/>
        </w:rPr>
        <w:t xml:space="preserve"> פוזיציות</w:t>
      </w:r>
      <w:r>
        <w:rPr>
          <w:rFonts w:hint="cs"/>
          <w:rtl/>
        </w:rPr>
        <w:t xml:space="preserve"> ארוכות</w:t>
      </w:r>
      <w:r w:rsidR="00BE7D6A">
        <w:rPr>
          <w:rFonts w:hint="cs"/>
          <w:rtl/>
        </w:rPr>
        <w:t>,</w:t>
      </w:r>
      <w:r>
        <w:rPr>
          <w:rFonts w:hint="cs"/>
          <w:rtl/>
        </w:rPr>
        <w:t xml:space="preserve"> 1-40 עם קפיצות של 1</w:t>
      </w:r>
      <w:r w:rsidR="00BE7D6A">
        <w:rPr>
          <w:rFonts w:hint="cs"/>
          <w:rtl/>
        </w:rPr>
        <w:t>,</w:t>
      </w:r>
      <w:r>
        <w:rPr>
          <w:rFonts w:hint="cs"/>
          <w:rtl/>
        </w:rPr>
        <w:t xml:space="preserve"> כי רצינו להחזיק בהם יותר וככה להרוויח יותר</w:t>
      </w:r>
      <w:r w:rsidR="00BE7D6A">
        <w:rPr>
          <w:rFonts w:hint="cs"/>
          <w:rtl/>
        </w:rPr>
        <w:t>.</w:t>
      </w:r>
      <w:r>
        <w:rPr>
          <w:rFonts w:hint="cs"/>
          <w:rtl/>
        </w:rPr>
        <w:t xml:space="preserve"> ועבור פוזיציות קצרות</w:t>
      </w:r>
      <w:r w:rsidR="00BE7D6A">
        <w:rPr>
          <w:rFonts w:hint="cs"/>
          <w:rtl/>
        </w:rPr>
        <w:t>,</w:t>
      </w:r>
      <w:r>
        <w:rPr>
          <w:rFonts w:hint="cs"/>
          <w:rtl/>
        </w:rPr>
        <w:t xml:space="preserve"> נתנו 1-10 עם קפיצות של 1</w:t>
      </w:r>
      <w:r w:rsidR="00BE7D6A">
        <w:rPr>
          <w:rFonts w:hint="cs"/>
          <w:rtl/>
        </w:rPr>
        <w:t>,</w:t>
      </w:r>
      <w:r>
        <w:rPr>
          <w:rFonts w:hint="cs"/>
          <w:rtl/>
        </w:rPr>
        <w:t xml:space="preserve"> כי הן לא היו יותר מידי רווחיות ולכן רצינו להחזיק בהן פחות. </w:t>
      </w:r>
    </w:p>
    <w:p w:rsidR="009A76E7" w:rsidRDefault="009A76E7" w:rsidP="00A22156">
      <w:pPr>
        <w:jc w:val="right"/>
        <w:rPr>
          <w:rtl/>
        </w:rPr>
      </w:pPr>
    </w:p>
    <w:p w:rsidR="00BE7D6A" w:rsidRDefault="00BE7D6A" w:rsidP="00A22156">
      <w:pPr>
        <w:jc w:val="right"/>
        <w:rPr>
          <w:rtl/>
        </w:rPr>
      </w:pPr>
      <w:r>
        <w:rPr>
          <w:rFonts w:hint="cs"/>
          <w:rtl/>
        </w:rPr>
        <w:t>נציג את הגרפים שקיבלנו:</w:t>
      </w:r>
    </w:p>
    <w:p w:rsidR="009A76E7" w:rsidRDefault="00BE7D6A" w:rsidP="00BE7D6A">
      <w:pPr>
        <w:rPr>
          <w:rtl/>
        </w:rPr>
      </w:pPr>
      <w:r>
        <w:t xml:space="preserve">Avg Trade – </w:t>
      </w:r>
      <w:proofErr w:type="spellStart"/>
      <w:r>
        <w:t>Min_long_hold</w:t>
      </w:r>
      <w:proofErr w:type="spellEnd"/>
      <w:r>
        <w:t xml:space="preserve"> &amp; </w:t>
      </w:r>
      <w:proofErr w:type="spellStart"/>
      <w:r>
        <w:t>Sample_size</w:t>
      </w:r>
      <w:proofErr w:type="spellEnd"/>
    </w:p>
    <w:p w:rsidR="009A76E7" w:rsidRDefault="009A76E7" w:rsidP="00A22156">
      <w:pPr>
        <w:jc w:val="right"/>
        <w:rPr>
          <w:rtl/>
        </w:rPr>
      </w:pPr>
    </w:p>
    <w:p w:rsidR="00BE7D6A" w:rsidRDefault="0068299A" w:rsidP="0068299A">
      <w:pPr>
        <w:jc w:val="right"/>
      </w:pPr>
      <w:r>
        <w:rPr>
          <w:noProof/>
        </w:rPr>
        <w:drawing>
          <wp:inline distT="0" distB="0" distL="0" distR="0">
            <wp:extent cx="5010150" cy="2971800"/>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0150" cy="2971800"/>
                    </a:xfrm>
                    <a:prstGeom prst="rect">
                      <a:avLst/>
                    </a:prstGeom>
                    <a:noFill/>
                    <a:ln>
                      <a:noFill/>
                    </a:ln>
                  </pic:spPr>
                </pic:pic>
              </a:graphicData>
            </a:graphic>
          </wp:inline>
        </w:drawing>
      </w:r>
    </w:p>
    <w:p w:rsidR="0068299A" w:rsidRDefault="0068299A" w:rsidP="0068299A">
      <w:pPr>
        <w:jc w:val="right"/>
      </w:pPr>
    </w:p>
    <w:p w:rsidR="0068299A" w:rsidRDefault="0068299A" w:rsidP="0068299A">
      <w:pPr>
        <w:jc w:val="right"/>
      </w:pPr>
    </w:p>
    <w:p w:rsidR="0068299A" w:rsidRDefault="0068299A" w:rsidP="0068299A">
      <w:pPr>
        <w:jc w:val="right"/>
      </w:pPr>
    </w:p>
    <w:p w:rsidR="0068299A" w:rsidRDefault="0068299A" w:rsidP="0068299A">
      <w:pPr>
        <w:jc w:val="right"/>
      </w:pPr>
    </w:p>
    <w:p w:rsidR="0068299A" w:rsidRDefault="0068299A" w:rsidP="0068299A">
      <w:pPr>
        <w:jc w:val="right"/>
      </w:pPr>
    </w:p>
    <w:p w:rsidR="0068299A" w:rsidRDefault="0068299A" w:rsidP="0068299A">
      <w:pPr>
        <w:jc w:val="right"/>
      </w:pPr>
    </w:p>
    <w:p w:rsidR="00BE7D6A" w:rsidRDefault="00BE7D6A" w:rsidP="00364E36">
      <w:pPr>
        <w:tabs>
          <w:tab w:val="left" w:pos="8550"/>
        </w:tabs>
      </w:pPr>
    </w:p>
    <w:p w:rsidR="00BE7D6A" w:rsidRDefault="00BE7D6A" w:rsidP="00BE7D6A">
      <w:proofErr w:type="spellStart"/>
      <w:r>
        <w:lastRenderedPageBreak/>
        <w:t>Net_profit</w:t>
      </w:r>
      <w:proofErr w:type="spellEnd"/>
      <w:r>
        <w:t xml:space="preserve"> – </w:t>
      </w:r>
      <w:proofErr w:type="spellStart"/>
      <w:r>
        <w:t>Min_long_hold</w:t>
      </w:r>
      <w:proofErr w:type="spellEnd"/>
      <w:r>
        <w:t xml:space="preserve"> &amp; </w:t>
      </w:r>
      <w:proofErr w:type="spellStart"/>
      <w:r>
        <w:t>Sample_size</w:t>
      </w:r>
      <w:proofErr w:type="spellEnd"/>
    </w:p>
    <w:p w:rsidR="00364E36" w:rsidRDefault="0068299A" w:rsidP="0068299A">
      <w:pPr>
        <w:tabs>
          <w:tab w:val="left" w:pos="8550"/>
        </w:tabs>
      </w:pPr>
      <w:r>
        <w:rPr>
          <w:noProof/>
        </w:rPr>
        <w:drawing>
          <wp:inline distT="0" distB="0" distL="0" distR="0">
            <wp:extent cx="5124450" cy="3124200"/>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4450" cy="3124200"/>
                    </a:xfrm>
                    <a:prstGeom prst="rect">
                      <a:avLst/>
                    </a:prstGeom>
                    <a:noFill/>
                    <a:ln>
                      <a:noFill/>
                    </a:ln>
                  </pic:spPr>
                </pic:pic>
              </a:graphicData>
            </a:graphic>
          </wp:inline>
        </w:drawing>
      </w:r>
    </w:p>
    <w:p w:rsidR="00BE7D6A" w:rsidRDefault="00BE7D6A" w:rsidP="00364E36">
      <w:pPr>
        <w:tabs>
          <w:tab w:val="left" w:pos="8550"/>
        </w:tabs>
      </w:pPr>
    </w:p>
    <w:p w:rsidR="00BE7D6A" w:rsidRDefault="00662166" w:rsidP="00BE7D6A">
      <w:r>
        <w:rPr>
          <w:noProof/>
        </w:rPr>
        <w:drawing>
          <wp:anchor distT="0" distB="0" distL="114300" distR="114300" simplePos="0" relativeHeight="251668480" behindDoc="0" locked="0" layoutInCell="1" allowOverlap="1" wp14:anchorId="16A5E63E">
            <wp:simplePos x="0" y="0"/>
            <wp:positionH relativeFrom="margin">
              <wp:align>left</wp:align>
            </wp:positionH>
            <wp:positionV relativeFrom="paragraph">
              <wp:posOffset>284480</wp:posOffset>
            </wp:positionV>
            <wp:extent cx="5076825" cy="3228975"/>
            <wp:effectExtent l="0" t="0" r="9525" b="9525"/>
            <wp:wrapSquare wrapText="bothSides"/>
            <wp:docPr id="15" name="תרשים 15">
              <a:extLst xmlns:a="http://schemas.openxmlformats.org/drawingml/2006/main">
                <a:ext uri="{FF2B5EF4-FFF2-40B4-BE49-F238E27FC236}">
                  <a16:creationId xmlns:a16="http://schemas.microsoft.com/office/drawing/2014/main" id="{4ACE7DE6-D115-476B-BF5D-82E756F25B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r w:rsidR="00BE7D6A" w:rsidRPr="00BE7D6A">
        <w:t>Max Drawdo</w:t>
      </w:r>
      <w:r w:rsidR="00BE7D6A">
        <w:t xml:space="preserve">wn – </w:t>
      </w:r>
      <w:proofErr w:type="spellStart"/>
      <w:r w:rsidR="00BE7D6A">
        <w:t>Min_long_hold</w:t>
      </w:r>
      <w:proofErr w:type="spellEnd"/>
      <w:r w:rsidR="00BE7D6A">
        <w:t xml:space="preserve"> &amp; </w:t>
      </w:r>
      <w:proofErr w:type="spellStart"/>
      <w:r w:rsidR="00BE7D6A">
        <w:t>Sample_size</w:t>
      </w:r>
      <w:proofErr w:type="spellEnd"/>
    </w:p>
    <w:p w:rsidR="00BE7D6A" w:rsidRDefault="00BE7D6A" w:rsidP="00364E36">
      <w:pPr>
        <w:tabs>
          <w:tab w:val="left" w:pos="8550"/>
        </w:tabs>
      </w:pPr>
    </w:p>
    <w:p w:rsidR="00BE7D6A" w:rsidRDefault="00BE7D6A" w:rsidP="00364E36">
      <w:pPr>
        <w:tabs>
          <w:tab w:val="left" w:pos="8550"/>
        </w:tabs>
      </w:pPr>
    </w:p>
    <w:p w:rsidR="00BE7D6A" w:rsidRDefault="00BE7D6A" w:rsidP="00364E36">
      <w:pPr>
        <w:tabs>
          <w:tab w:val="left" w:pos="8550"/>
        </w:tabs>
      </w:pPr>
    </w:p>
    <w:p w:rsidR="00364E36" w:rsidRDefault="00364E36" w:rsidP="00364E36">
      <w:pPr>
        <w:tabs>
          <w:tab w:val="left" w:pos="8550"/>
        </w:tabs>
      </w:pPr>
    </w:p>
    <w:p w:rsidR="00BE7D6A" w:rsidRDefault="00BE7D6A" w:rsidP="00364E36">
      <w:pPr>
        <w:tabs>
          <w:tab w:val="left" w:pos="8550"/>
        </w:tabs>
      </w:pPr>
    </w:p>
    <w:p w:rsidR="00BE7D6A" w:rsidRDefault="00BE7D6A" w:rsidP="00364E36">
      <w:pPr>
        <w:tabs>
          <w:tab w:val="left" w:pos="8550"/>
        </w:tabs>
      </w:pPr>
    </w:p>
    <w:p w:rsidR="00BE7D6A" w:rsidRDefault="00BE7D6A" w:rsidP="00364E36">
      <w:pPr>
        <w:tabs>
          <w:tab w:val="left" w:pos="8550"/>
        </w:tabs>
      </w:pPr>
    </w:p>
    <w:p w:rsidR="00BE7D6A" w:rsidRDefault="00BE7D6A" w:rsidP="00364E36">
      <w:pPr>
        <w:tabs>
          <w:tab w:val="left" w:pos="8550"/>
        </w:tabs>
      </w:pPr>
    </w:p>
    <w:p w:rsidR="00BE7D6A" w:rsidRDefault="00BE7D6A" w:rsidP="00364E36">
      <w:pPr>
        <w:tabs>
          <w:tab w:val="left" w:pos="8550"/>
        </w:tabs>
      </w:pPr>
    </w:p>
    <w:p w:rsidR="00BE7D6A" w:rsidRDefault="00BE7D6A" w:rsidP="00364E36">
      <w:pPr>
        <w:tabs>
          <w:tab w:val="left" w:pos="8550"/>
        </w:tabs>
      </w:pPr>
    </w:p>
    <w:p w:rsidR="00BE7D6A" w:rsidRDefault="00BE7D6A" w:rsidP="00364E36">
      <w:pPr>
        <w:tabs>
          <w:tab w:val="left" w:pos="8550"/>
        </w:tabs>
      </w:pPr>
    </w:p>
    <w:p w:rsidR="00BE7D6A" w:rsidRDefault="00BE7D6A" w:rsidP="00364E36">
      <w:pPr>
        <w:tabs>
          <w:tab w:val="left" w:pos="8550"/>
        </w:tabs>
      </w:pPr>
    </w:p>
    <w:p w:rsidR="00BE7D6A" w:rsidRDefault="00BE7D6A" w:rsidP="00364E36">
      <w:pPr>
        <w:tabs>
          <w:tab w:val="left" w:pos="8550"/>
        </w:tabs>
      </w:pPr>
    </w:p>
    <w:p w:rsidR="00BE7D6A" w:rsidRDefault="00BE7D6A" w:rsidP="00364E36">
      <w:pPr>
        <w:tabs>
          <w:tab w:val="left" w:pos="8550"/>
        </w:tabs>
      </w:pPr>
    </w:p>
    <w:p w:rsidR="0068299A" w:rsidRDefault="00262D33" w:rsidP="00262D33">
      <w:pPr>
        <w:rPr>
          <w:noProof/>
        </w:rPr>
      </w:pPr>
      <w:proofErr w:type="spellStart"/>
      <w:r>
        <w:lastRenderedPageBreak/>
        <w:t>Net_profit</w:t>
      </w:r>
      <w:proofErr w:type="spellEnd"/>
      <w:r>
        <w:t xml:space="preserve"> – </w:t>
      </w:r>
      <w:proofErr w:type="spellStart"/>
      <w:r>
        <w:t>Min_short_hold</w:t>
      </w:r>
      <w:proofErr w:type="spellEnd"/>
      <w:r>
        <w:t xml:space="preserve"> &amp; </w:t>
      </w:r>
      <w:proofErr w:type="spellStart"/>
      <w:r>
        <w:t>Sample_size</w:t>
      </w:r>
      <w:proofErr w:type="spellEnd"/>
      <w:r w:rsidR="0068299A" w:rsidRPr="0068299A">
        <w:rPr>
          <w:noProof/>
        </w:rPr>
        <w:t xml:space="preserve"> </w:t>
      </w:r>
    </w:p>
    <w:p w:rsidR="0068299A" w:rsidRDefault="0068299A" w:rsidP="00262D33">
      <w:r>
        <w:rPr>
          <w:noProof/>
        </w:rPr>
        <w:drawing>
          <wp:inline distT="0" distB="0" distL="0" distR="0">
            <wp:extent cx="5467350" cy="3324225"/>
            <wp:effectExtent l="0" t="0" r="0" b="952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7350" cy="3324225"/>
                    </a:xfrm>
                    <a:prstGeom prst="rect">
                      <a:avLst/>
                    </a:prstGeom>
                    <a:noFill/>
                    <a:ln>
                      <a:noFill/>
                    </a:ln>
                  </pic:spPr>
                </pic:pic>
              </a:graphicData>
            </a:graphic>
          </wp:inline>
        </w:drawing>
      </w:r>
    </w:p>
    <w:p w:rsidR="0068299A" w:rsidRDefault="0068299A" w:rsidP="0068299A">
      <w:pPr>
        <w:rPr>
          <w:rtl/>
        </w:rPr>
      </w:pPr>
      <w:r>
        <w:t xml:space="preserve">Avg Trade – </w:t>
      </w:r>
      <w:proofErr w:type="spellStart"/>
      <w:r>
        <w:t>Min_long_hold</w:t>
      </w:r>
      <w:proofErr w:type="spellEnd"/>
      <w:r>
        <w:t xml:space="preserve"> &amp; </w:t>
      </w:r>
      <w:proofErr w:type="spellStart"/>
      <w:r>
        <w:t>Sample_size</w:t>
      </w:r>
      <w:proofErr w:type="spellEnd"/>
    </w:p>
    <w:p w:rsidR="0068299A" w:rsidRDefault="0068299A" w:rsidP="00262D33">
      <w:r>
        <w:rPr>
          <w:noProof/>
        </w:rPr>
        <w:drawing>
          <wp:inline distT="0" distB="0" distL="0" distR="0">
            <wp:extent cx="5581650" cy="3286125"/>
            <wp:effectExtent l="0" t="0" r="0" b="952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1650" cy="3286125"/>
                    </a:xfrm>
                    <a:prstGeom prst="rect">
                      <a:avLst/>
                    </a:prstGeom>
                    <a:noFill/>
                    <a:ln>
                      <a:noFill/>
                    </a:ln>
                  </pic:spPr>
                </pic:pic>
              </a:graphicData>
            </a:graphic>
          </wp:inline>
        </w:drawing>
      </w:r>
    </w:p>
    <w:p w:rsidR="0068299A" w:rsidRDefault="0068299A" w:rsidP="00262D33"/>
    <w:p w:rsidR="0068299A" w:rsidRDefault="0068299A" w:rsidP="00262D33"/>
    <w:p w:rsidR="0068299A" w:rsidRDefault="0068299A" w:rsidP="0068299A">
      <w:r w:rsidRPr="00BE7D6A">
        <w:lastRenderedPageBreak/>
        <w:t>Max Drawdo</w:t>
      </w:r>
      <w:r>
        <w:t xml:space="preserve">wn – </w:t>
      </w:r>
      <w:proofErr w:type="spellStart"/>
      <w:r>
        <w:t>Min_short_hold</w:t>
      </w:r>
      <w:proofErr w:type="spellEnd"/>
      <w:r>
        <w:t xml:space="preserve"> &amp; </w:t>
      </w:r>
      <w:proofErr w:type="spellStart"/>
      <w:r>
        <w:t>Sample_size</w:t>
      </w:r>
      <w:proofErr w:type="spellEnd"/>
      <w:r>
        <w:rPr>
          <w:noProof/>
        </w:rPr>
        <w:drawing>
          <wp:anchor distT="0" distB="0" distL="114300" distR="114300" simplePos="0" relativeHeight="251665408" behindDoc="0" locked="0" layoutInCell="1" allowOverlap="1" wp14:anchorId="57E0446C">
            <wp:simplePos x="0" y="0"/>
            <wp:positionH relativeFrom="margin">
              <wp:align>center</wp:align>
            </wp:positionH>
            <wp:positionV relativeFrom="paragraph">
              <wp:posOffset>257175</wp:posOffset>
            </wp:positionV>
            <wp:extent cx="5448300" cy="2943225"/>
            <wp:effectExtent l="0" t="0" r="0" b="9525"/>
            <wp:wrapSquare wrapText="bothSides"/>
            <wp:docPr id="8" name="תרשים 8">
              <a:extLst xmlns:a="http://schemas.openxmlformats.org/drawingml/2006/main">
                <a:ext uri="{FF2B5EF4-FFF2-40B4-BE49-F238E27FC236}">
                  <a16:creationId xmlns:a16="http://schemas.microsoft.com/office/drawing/2014/main" id="{729DEC56-DC48-4AE3-AFD6-C4FA21AEF1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p>
    <w:p w:rsidR="0068299A" w:rsidRDefault="0068299A" w:rsidP="00262D33"/>
    <w:p w:rsidR="0068299A" w:rsidRDefault="00BC723E" w:rsidP="0068299A">
      <w:pPr>
        <w:jc w:val="right"/>
        <w:rPr>
          <w:rtl/>
        </w:rPr>
      </w:pPr>
      <w:r>
        <w:rPr>
          <w:rFonts w:hint="cs"/>
          <w:rtl/>
        </w:rPr>
        <w:t xml:space="preserve">5. </w:t>
      </w:r>
      <w:r w:rsidR="0068299A">
        <w:rPr>
          <w:rFonts w:hint="cs"/>
          <w:rtl/>
        </w:rPr>
        <w:t xml:space="preserve">לאחר שתי ההרצות </w:t>
      </w:r>
      <w:r w:rsidR="00582032">
        <w:rPr>
          <w:rFonts w:hint="cs"/>
          <w:rtl/>
        </w:rPr>
        <w:t>נמצא שערכים האופטימליים הם:</w:t>
      </w:r>
    </w:p>
    <w:p w:rsidR="00582032" w:rsidRDefault="00582032" w:rsidP="0068299A">
      <w:pPr>
        <w:jc w:val="right"/>
      </w:pPr>
      <w:proofErr w:type="spellStart"/>
      <w:r>
        <w:t>Min_Long_Hold</w:t>
      </w:r>
      <w:proofErr w:type="spellEnd"/>
      <w:r>
        <w:t xml:space="preserve"> = 34</w:t>
      </w:r>
    </w:p>
    <w:p w:rsidR="00582032" w:rsidRDefault="00582032" w:rsidP="0068299A">
      <w:pPr>
        <w:jc w:val="right"/>
      </w:pPr>
      <w:proofErr w:type="spellStart"/>
      <w:r>
        <w:t>Min_Shot_Hold</w:t>
      </w:r>
      <w:proofErr w:type="spellEnd"/>
      <w:r>
        <w:t xml:space="preserve"> = 4</w:t>
      </w:r>
    </w:p>
    <w:p w:rsidR="00582032" w:rsidRDefault="00582032" w:rsidP="0068299A">
      <w:pPr>
        <w:jc w:val="right"/>
      </w:pPr>
      <w:proofErr w:type="spellStart"/>
      <w:r>
        <w:t>Sample_size</w:t>
      </w:r>
      <w:proofErr w:type="spellEnd"/>
      <w:r>
        <w:t xml:space="preserve"> = 16</w:t>
      </w:r>
    </w:p>
    <w:p w:rsidR="0068299A" w:rsidRDefault="00582032" w:rsidP="00582032">
      <w:pPr>
        <w:jc w:val="right"/>
        <w:rPr>
          <w:rtl/>
        </w:rPr>
      </w:pPr>
      <w:r>
        <w:rPr>
          <w:rFonts w:hint="cs"/>
          <w:noProof/>
        </w:rPr>
        <w:drawing>
          <wp:anchor distT="0" distB="0" distL="114300" distR="114300" simplePos="0" relativeHeight="251666432" behindDoc="0" locked="0" layoutInCell="1" allowOverlap="1">
            <wp:simplePos x="0" y="0"/>
            <wp:positionH relativeFrom="margin">
              <wp:align>right</wp:align>
            </wp:positionH>
            <wp:positionV relativeFrom="paragraph">
              <wp:posOffset>430530</wp:posOffset>
            </wp:positionV>
            <wp:extent cx="5943600" cy="1179830"/>
            <wp:effectExtent l="0" t="0" r="0" b="127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9).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179830"/>
                    </a:xfrm>
                    <a:prstGeom prst="rect">
                      <a:avLst/>
                    </a:prstGeom>
                  </pic:spPr>
                </pic:pic>
              </a:graphicData>
            </a:graphic>
          </wp:anchor>
        </w:drawing>
      </w:r>
      <w:r>
        <w:rPr>
          <w:rFonts w:hint="cs"/>
          <w:rtl/>
        </w:rPr>
        <w:t>להלן התוצאות של דוח הביצועים של האסטרטגיה לאחר האופטימיזציה :</w:t>
      </w:r>
    </w:p>
    <w:p w:rsidR="0068299A" w:rsidRDefault="0068299A" w:rsidP="00262D33">
      <w:pPr>
        <w:rPr>
          <w:rtl/>
        </w:rPr>
      </w:pPr>
    </w:p>
    <w:p w:rsidR="00582032" w:rsidRDefault="00582032" w:rsidP="00262D33">
      <w:pPr>
        <w:rPr>
          <w:rtl/>
        </w:rPr>
      </w:pPr>
    </w:p>
    <w:p w:rsidR="00582032" w:rsidRDefault="00582032" w:rsidP="00262D33">
      <w:pPr>
        <w:rPr>
          <w:rtl/>
        </w:rPr>
      </w:pPr>
    </w:p>
    <w:p w:rsidR="00582032" w:rsidRDefault="00582032" w:rsidP="00262D33">
      <w:pPr>
        <w:rPr>
          <w:rtl/>
        </w:rPr>
      </w:pPr>
    </w:p>
    <w:p w:rsidR="00582032" w:rsidRDefault="00582032" w:rsidP="00582032">
      <w:pPr>
        <w:jc w:val="right"/>
        <w:rPr>
          <w:rtl/>
        </w:rPr>
      </w:pPr>
    </w:p>
    <w:p w:rsidR="00582032" w:rsidRDefault="00582032" w:rsidP="00582032">
      <w:pPr>
        <w:jc w:val="right"/>
        <w:rPr>
          <w:rtl/>
        </w:rPr>
      </w:pPr>
    </w:p>
    <w:p w:rsidR="00582032" w:rsidRDefault="00582032" w:rsidP="00582032">
      <w:pPr>
        <w:jc w:val="right"/>
        <w:rPr>
          <w:rtl/>
        </w:rPr>
      </w:pPr>
    </w:p>
    <w:p w:rsidR="00582032" w:rsidRDefault="00582032" w:rsidP="00582032">
      <w:pPr>
        <w:jc w:val="right"/>
      </w:pPr>
      <w:r>
        <w:rPr>
          <w:rFonts w:hint="cs"/>
          <w:rtl/>
        </w:rPr>
        <w:lastRenderedPageBreak/>
        <w:t>נראה טבלה שממחישה את השינויים שעברה האסטרטגיה:</w:t>
      </w:r>
    </w:p>
    <w:tbl>
      <w:tblPr>
        <w:tblStyle w:val="a8"/>
        <w:tblW w:w="0" w:type="auto"/>
        <w:tblLook w:val="04A0" w:firstRow="1" w:lastRow="0" w:firstColumn="1" w:lastColumn="0" w:noHBand="0" w:noVBand="1"/>
      </w:tblPr>
      <w:tblGrid>
        <w:gridCol w:w="3116"/>
        <w:gridCol w:w="3117"/>
        <w:gridCol w:w="3117"/>
      </w:tblGrid>
      <w:tr w:rsidR="00582032" w:rsidTr="00582032">
        <w:tc>
          <w:tcPr>
            <w:tcW w:w="3116" w:type="dxa"/>
          </w:tcPr>
          <w:p w:rsidR="00582032" w:rsidRDefault="00582032" w:rsidP="00582032"/>
        </w:tc>
        <w:tc>
          <w:tcPr>
            <w:tcW w:w="3117" w:type="dxa"/>
          </w:tcPr>
          <w:p w:rsidR="00582032" w:rsidRPr="00582032" w:rsidRDefault="00582032" w:rsidP="008354F6">
            <w:pPr>
              <w:jc w:val="center"/>
              <w:rPr>
                <w:b/>
                <w:bCs/>
                <w:sz w:val="28"/>
                <w:szCs w:val="28"/>
              </w:rPr>
            </w:pPr>
            <w:r>
              <w:rPr>
                <w:rFonts w:hint="cs"/>
                <w:b/>
                <w:bCs/>
                <w:sz w:val="28"/>
                <w:szCs w:val="28"/>
                <w:rtl/>
              </w:rPr>
              <w:t>לפני אופטימיזצי</w:t>
            </w:r>
            <w:r>
              <w:rPr>
                <w:rFonts w:hint="eastAsia"/>
                <w:b/>
                <w:bCs/>
                <w:sz w:val="28"/>
                <w:szCs w:val="28"/>
                <w:rtl/>
              </w:rPr>
              <w:t>ה</w:t>
            </w:r>
          </w:p>
        </w:tc>
        <w:tc>
          <w:tcPr>
            <w:tcW w:w="3117" w:type="dxa"/>
          </w:tcPr>
          <w:p w:rsidR="00582032" w:rsidRDefault="00582032" w:rsidP="008354F6">
            <w:pPr>
              <w:jc w:val="center"/>
            </w:pPr>
            <w:r>
              <w:rPr>
                <w:rFonts w:hint="cs"/>
                <w:b/>
                <w:bCs/>
                <w:sz w:val="28"/>
                <w:szCs w:val="28"/>
                <w:rtl/>
              </w:rPr>
              <w:t>אחרי אופטימיזציה</w:t>
            </w:r>
          </w:p>
        </w:tc>
      </w:tr>
      <w:tr w:rsidR="00582032" w:rsidTr="00582032">
        <w:tc>
          <w:tcPr>
            <w:tcW w:w="3116" w:type="dxa"/>
          </w:tcPr>
          <w:p w:rsidR="00582032" w:rsidRDefault="00582032" w:rsidP="00582032">
            <w:r>
              <w:t>Total net profit</w:t>
            </w:r>
          </w:p>
        </w:tc>
        <w:tc>
          <w:tcPr>
            <w:tcW w:w="3117" w:type="dxa"/>
          </w:tcPr>
          <w:p w:rsidR="00582032" w:rsidRDefault="008354F6" w:rsidP="008354F6">
            <w:pPr>
              <w:jc w:val="center"/>
            </w:pPr>
            <w:r>
              <w:t>$56,780.00</w:t>
            </w:r>
          </w:p>
        </w:tc>
        <w:tc>
          <w:tcPr>
            <w:tcW w:w="3117" w:type="dxa"/>
          </w:tcPr>
          <w:p w:rsidR="00582032" w:rsidRDefault="008354F6" w:rsidP="008354F6">
            <w:pPr>
              <w:jc w:val="center"/>
            </w:pPr>
            <w:r>
              <w:t>$105,160.00</w:t>
            </w:r>
          </w:p>
        </w:tc>
      </w:tr>
      <w:tr w:rsidR="00582032" w:rsidTr="00582032">
        <w:tc>
          <w:tcPr>
            <w:tcW w:w="3116" w:type="dxa"/>
          </w:tcPr>
          <w:p w:rsidR="00582032" w:rsidRDefault="00582032" w:rsidP="00582032">
            <w:r>
              <w:t>Profit factor</w:t>
            </w:r>
          </w:p>
        </w:tc>
        <w:tc>
          <w:tcPr>
            <w:tcW w:w="3117" w:type="dxa"/>
          </w:tcPr>
          <w:p w:rsidR="00582032" w:rsidRDefault="008354F6" w:rsidP="008354F6">
            <w:pPr>
              <w:jc w:val="center"/>
            </w:pPr>
            <w:r>
              <w:t>1.45</w:t>
            </w:r>
          </w:p>
        </w:tc>
        <w:tc>
          <w:tcPr>
            <w:tcW w:w="3117" w:type="dxa"/>
          </w:tcPr>
          <w:p w:rsidR="00582032" w:rsidRDefault="008354F6" w:rsidP="008354F6">
            <w:pPr>
              <w:jc w:val="center"/>
            </w:pPr>
            <w:r>
              <w:t>1.89</w:t>
            </w:r>
          </w:p>
        </w:tc>
      </w:tr>
      <w:tr w:rsidR="00582032" w:rsidTr="00582032">
        <w:tc>
          <w:tcPr>
            <w:tcW w:w="3116" w:type="dxa"/>
          </w:tcPr>
          <w:p w:rsidR="00582032" w:rsidRDefault="00582032" w:rsidP="00582032">
            <w:r>
              <w:t>Total number of trades</w:t>
            </w:r>
          </w:p>
        </w:tc>
        <w:tc>
          <w:tcPr>
            <w:tcW w:w="3117" w:type="dxa"/>
          </w:tcPr>
          <w:p w:rsidR="00582032" w:rsidRDefault="008354F6" w:rsidP="008354F6">
            <w:pPr>
              <w:jc w:val="center"/>
            </w:pPr>
            <w:r>
              <w:t>133</w:t>
            </w:r>
          </w:p>
        </w:tc>
        <w:tc>
          <w:tcPr>
            <w:tcW w:w="3117" w:type="dxa"/>
          </w:tcPr>
          <w:p w:rsidR="00582032" w:rsidRDefault="008354F6" w:rsidP="008354F6">
            <w:pPr>
              <w:jc w:val="center"/>
            </w:pPr>
            <w:r>
              <w:t>83</w:t>
            </w:r>
          </w:p>
        </w:tc>
      </w:tr>
      <w:tr w:rsidR="00582032" w:rsidTr="00582032">
        <w:tc>
          <w:tcPr>
            <w:tcW w:w="3116" w:type="dxa"/>
          </w:tcPr>
          <w:p w:rsidR="00582032" w:rsidRDefault="00582032" w:rsidP="00582032">
            <w:r>
              <w:t>Total long trades</w:t>
            </w:r>
          </w:p>
        </w:tc>
        <w:tc>
          <w:tcPr>
            <w:tcW w:w="3117" w:type="dxa"/>
          </w:tcPr>
          <w:p w:rsidR="00582032" w:rsidRDefault="008354F6" w:rsidP="008354F6">
            <w:pPr>
              <w:jc w:val="center"/>
            </w:pPr>
            <w:r>
              <w:t>85</w:t>
            </w:r>
          </w:p>
        </w:tc>
        <w:tc>
          <w:tcPr>
            <w:tcW w:w="3117" w:type="dxa"/>
          </w:tcPr>
          <w:p w:rsidR="00582032" w:rsidRDefault="008354F6" w:rsidP="008354F6">
            <w:pPr>
              <w:jc w:val="center"/>
            </w:pPr>
            <w:r>
              <w:t>60</w:t>
            </w:r>
          </w:p>
        </w:tc>
      </w:tr>
      <w:tr w:rsidR="00582032" w:rsidTr="00582032">
        <w:tc>
          <w:tcPr>
            <w:tcW w:w="3116" w:type="dxa"/>
          </w:tcPr>
          <w:p w:rsidR="00582032" w:rsidRDefault="00582032" w:rsidP="00582032">
            <w:r>
              <w:t>Total short trades</w:t>
            </w:r>
          </w:p>
        </w:tc>
        <w:tc>
          <w:tcPr>
            <w:tcW w:w="3117" w:type="dxa"/>
          </w:tcPr>
          <w:p w:rsidR="00582032" w:rsidRDefault="008354F6" w:rsidP="008354F6">
            <w:pPr>
              <w:jc w:val="center"/>
            </w:pPr>
            <w:r>
              <w:t>48</w:t>
            </w:r>
          </w:p>
        </w:tc>
        <w:tc>
          <w:tcPr>
            <w:tcW w:w="3117" w:type="dxa"/>
          </w:tcPr>
          <w:p w:rsidR="00582032" w:rsidRDefault="008354F6" w:rsidP="008354F6">
            <w:pPr>
              <w:jc w:val="center"/>
            </w:pPr>
            <w:r>
              <w:t>23</w:t>
            </w:r>
          </w:p>
        </w:tc>
      </w:tr>
      <w:tr w:rsidR="00582032" w:rsidTr="00582032">
        <w:tc>
          <w:tcPr>
            <w:tcW w:w="3116" w:type="dxa"/>
          </w:tcPr>
          <w:p w:rsidR="00582032" w:rsidRDefault="00582032" w:rsidP="00582032">
            <w:r>
              <w:t>Percent profitable</w:t>
            </w:r>
          </w:p>
        </w:tc>
        <w:tc>
          <w:tcPr>
            <w:tcW w:w="3117" w:type="dxa"/>
          </w:tcPr>
          <w:p w:rsidR="00582032" w:rsidRDefault="008354F6" w:rsidP="008354F6">
            <w:pPr>
              <w:jc w:val="center"/>
            </w:pPr>
            <w:r>
              <w:t>55.64%</w:t>
            </w:r>
          </w:p>
        </w:tc>
        <w:tc>
          <w:tcPr>
            <w:tcW w:w="3117" w:type="dxa"/>
          </w:tcPr>
          <w:p w:rsidR="00582032" w:rsidRDefault="008354F6" w:rsidP="008354F6">
            <w:pPr>
              <w:jc w:val="center"/>
            </w:pPr>
            <w:r>
              <w:t>61.45%</w:t>
            </w:r>
          </w:p>
        </w:tc>
      </w:tr>
      <w:tr w:rsidR="00582032" w:rsidTr="00582032">
        <w:tc>
          <w:tcPr>
            <w:tcW w:w="3116" w:type="dxa"/>
          </w:tcPr>
          <w:p w:rsidR="00582032" w:rsidRDefault="00582032" w:rsidP="00582032">
            <w:r>
              <w:t>Winning trades</w:t>
            </w:r>
          </w:p>
        </w:tc>
        <w:tc>
          <w:tcPr>
            <w:tcW w:w="3117" w:type="dxa"/>
          </w:tcPr>
          <w:p w:rsidR="00582032" w:rsidRDefault="008354F6" w:rsidP="008354F6">
            <w:pPr>
              <w:jc w:val="center"/>
            </w:pPr>
            <w:r>
              <w:t>74</w:t>
            </w:r>
          </w:p>
        </w:tc>
        <w:tc>
          <w:tcPr>
            <w:tcW w:w="3117" w:type="dxa"/>
          </w:tcPr>
          <w:p w:rsidR="00582032" w:rsidRDefault="008354F6" w:rsidP="008354F6">
            <w:pPr>
              <w:jc w:val="center"/>
            </w:pPr>
            <w:r>
              <w:t>51</w:t>
            </w:r>
          </w:p>
        </w:tc>
      </w:tr>
      <w:tr w:rsidR="00582032" w:rsidTr="00582032">
        <w:tc>
          <w:tcPr>
            <w:tcW w:w="3116" w:type="dxa"/>
          </w:tcPr>
          <w:p w:rsidR="00582032" w:rsidRDefault="00582032" w:rsidP="00582032">
            <w:r>
              <w:t>Return on initial capital</w:t>
            </w:r>
          </w:p>
        </w:tc>
        <w:tc>
          <w:tcPr>
            <w:tcW w:w="3117" w:type="dxa"/>
          </w:tcPr>
          <w:p w:rsidR="00582032" w:rsidRDefault="008354F6" w:rsidP="008354F6">
            <w:pPr>
              <w:jc w:val="center"/>
            </w:pPr>
            <w:r>
              <w:t>56.78%</w:t>
            </w:r>
          </w:p>
        </w:tc>
        <w:tc>
          <w:tcPr>
            <w:tcW w:w="3117" w:type="dxa"/>
          </w:tcPr>
          <w:p w:rsidR="00582032" w:rsidRDefault="008354F6" w:rsidP="008354F6">
            <w:pPr>
              <w:jc w:val="center"/>
            </w:pPr>
            <w:r>
              <w:t>105.16%</w:t>
            </w:r>
          </w:p>
        </w:tc>
      </w:tr>
      <w:tr w:rsidR="00582032" w:rsidTr="00582032">
        <w:tc>
          <w:tcPr>
            <w:tcW w:w="3116" w:type="dxa"/>
          </w:tcPr>
          <w:p w:rsidR="00582032" w:rsidRDefault="00582032" w:rsidP="00582032">
            <w:r>
              <w:t>Return retracement ratio</w:t>
            </w:r>
          </w:p>
        </w:tc>
        <w:tc>
          <w:tcPr>
            <w:tcW w:w="3117" w:type="dxa"/>
          </w:tcPr>
          <w:p w:rsidR="00582032" w:rsidRDefault="008354F6" w:rsidP="008354F6">
            <w:pPr>
              <w:jc w:val="center"/>
            </w:pPr>
            <w:r>
              <w:t>0.60</w:t>
            </w:r>
          </w:p>
        </w:tc>
        <w:tc>
          <w:tcPr>
            <w:tcW w:w="3117" w:type="dxa"/>
          </w:tcPr>
          <w:p w:rsidR="00582032" w:rsidRDefault="008354F6" w:rsidP="008354F6">
            <w:pPr>
              <w:jc w:val="center"/>
            </w:pPr>
            <w:r>
              <w:t>0.61</w:t>
            </w:r>
          </w:p>
        </w:tc>
      </w:tr>
      <w:tr w:rsidR="00582032" w:rsidTr="00582032">
        <w:tc>
          <w:tcPr>
            <w:tcW w:w="3116" w:type="dxa"/>
          </w:tcPr>
          <w:p w:rsidR="00582032" w:rsidRDefault="00582032" w:rsidP="00582032">
            <w:r>
              <w:t>Max drawdown</w:t>
            </w:r>
          </w:p>
        </w:tc>
        <w:tc>
          <w:tcPr>
            <w:tcW w:w="3117" w:type="dxa"/>
          </w:tcPr>
          <w:p w:rsidR="00582032" w:rsidRPr="008354F6" w:rsidRDefault="008354F6" w:rsidP="008354F6">
            <w:pPr>
              <w:jc w:val="center"/>
            </w:pPr>
            <w:r>
              <w:t>23,630</w:t>
            </w:r>
          </w:p>
        </w:tc>
        <w:tc>
          <w:tcPr>
            <w:tcW w:w="3117" w:type="dxa"/>
          </w:tcPr>
          <w:p w:rsidR="00582032" w:rsidRDefault="008354F6" w:rsidP="008354F6">
            <w:pPr>
              <w:jc w:val="center"/>
            </w:pPr>
            <w:r>
              <w:t>31,630</w:t>
            </w:r>
          </w:p>
        </w:tc>
      </w:tr>
      <w:tr w:rsidR="00582032" w:rsidTr="00582032">
        <w:tc>
          <w:tcPr>
            <w:tcW w:w="3116" w:type="dxa"/>
          </w:tcPr>
          <w:p w:rsidR="00582032" w:rsidRDefault="00582032" w:rsidP="00582032">
            <w:r>
              <w:t>Net profit as % o</w:t>
            </w:r>
            <w:r w:rsidR="008354F6">
              <w:t>f</w:t>
            </w:r>
            <w:r>
              <w:t xml:space="preserve"> drawdown</w:t>
            </w:r>
          </w:p>
        </w:tc>
        <w:tc>
          <w:tcPr>
            <w:tcW w:w="3117" w:type="dxa"/>
          </w:tcPr>
          <w:p w:rsidR="00582032" w:rsidRDefault="008354F6" w:rsidP="008354F6">
            <w:pPr>
              <w:jc w:val="center"/>
            </w:pPr>
            <w:r>
              <w:t>240.29%</w:t>
            </w:r>
          </w:p>
        </w:tc>
        <w:tc>
          <w:tcPr>
            <w:tcW w:w="3117" w:type="dxa"/>
          </w:tcPr>
          <w:p w:rsidR="00582032" w:rsidRDefault="008354F6" w:rsidP="008354F6">
            <w:pPr>
              <w:jc w:val="center"/>
            </w:pPr>
            <w:r>
              <w:t>332.47%</w:t>
            </w:r>
          </w:p>
        </w:tc>
      </w:tr>
      <w:tr w:rsidR="00582032" w:rsidTr="00582032">
        <w:tc>
          <w:tcPr>
            <w:tcW w:w="3116" w:type="dxa"/>
          </w:tcPr>
          <w:p w:rsidR="00582032" w:rsidRDefault="008354F6" w:rsidP="00582032">
            <w:r>
              <w:t>Max shares/contracts held</w:t>
            </w:r>
          </w:p>
        </w:tc>
        <w:tc>
          <w:tcPr>
            <w:tcW w:w="3117" w:type="dxa"/>
          </w:tcPr>
          <w:p w:rsidR="00582032" w:rsidRDefault="008354F6" w:rsidP="008354F6">
            <w:pPr>
              <w:jc w:val="center"/>
            </w:pPr>
            <w:r>
              <w:t>1,000</w:t>
            </w:r>
          </w:p>
        </w:tc>
        <w:tc>
          <w:tcPr>
            <w:tcW w:w="3117" w:type="dxa"/>
          </w:tcPr>
          <w:p w:rsidR="00582032" w:rsidRDefault="008354F6" w:rsidP="008354F6">
            <w:pPr>
              <w:jc w:val="center"/>
            </w:pPr>
            <w:r>
              <w:t>1000</w:t>
            </w:r>
          </w:p>
        </w:tc>
      </w:tr>
      <w:tr w:rsidR="00582032" w:rsidTr="00582032">
        <w:tc>
          <w:tcPr>
            <w:tcW w:w="3116" w:type="dxa"/>
          </w:tcPr>
          <w:p w:rsidR="00582032" w:rsidRDefault="008354F6" w:rsidP="00582032">
            <w:r>
              <w:t>Max drawdown as % of initial capital</w:t>
            </w:r>
          </w:p>
        </w:tc>
        <w:tc>
          <w:tcPr>
            <w:tcW w:w="3117" w:type="dxa"/>
          </w:tcPr>
          <w:p w:rsidR="00582032" w:rsidRDefault="008354F6" w:rsidP="008354F6">
            <w:pPr>
              <w:jc w:val="center"/>
            </w:pPr>
            <w:r>
              <w:t>23.63%</w:t>
            </w:r>
          </w:p>
        </w:tc>
        <w:tc>
          <w:tcPr>
            <w:tcW w:w="3117" w:type="dxa"/>
          </w:tcPr>
          <w:p w:rsidR="00582032" w:rsidRDefault="008354F6" w:rsidP="008354F6">
            <w:pPr>
              <w:jc w:val="center"/>
            </w:pPr>
            <w:r>
              <w:t>31.63%</w:t>
            </w:r>
          </w:p>
        </w:tc>
      </w:tr>
    </w:tbl>
    <w:p w:rsidR="00582032" w:rsidRDefault="00582032" w:rsidP="00582032">
      <w:pPr>
        <w:jc w:val="right"/>
      </w:pPr>
    </w:p>
    <w:p w:rsidR="0068299A" w:rsidRDefault="00BC723E" w:rsidP="008354F6">
      <w:pPr>
        <w:jc w:val="right"/>
        <w:rPr>
          <w:rtl/>
        </w:rPr>
      </w:pPr>
      <w:r>
        <w:rPr>
          <w:rFonts w:hint="cs"/>
          <w:rtl/>
        </w:rPr>
        <w:t xml:space="preserve">ניתן לראות שהעלינו את הרווחים ב 85% שזה המון, אמנם מס הטריידים ירד אבל היחס של טריידים מנצחים   </w:t>
      </w:r>
      <w:r>
        <w:t xml:space="preserve">  </w:t>
      </w:r>
      <w:r>
        <w:rPr>
          <w:rFonts w:hint="cs"/>
          <w:rtl/>
        </w:rPr>
        <w:t>, לאחר ההשוואה הזו ניתן להגיד בבירור ששיפרנו את האסטרטגיה.</w:t>
      </w:r>
      <w:r>
        <w:t>profit factor</w:t>
      </w:r>
      <w:r>
        <w:rPr>
          <w:rFonts w:hint="cs"/>
          <w:rtl/>
        </w:rPr>
        <w:t xml:space="preserve">עלה בכמעט 6%, יש עלייה ב- </w:t>
      </w:r>
    </w:p>
    <w:p w:rsidR="00BC723E" w:rsidRDefault="00BC723E" w:rsidP="008354F6">
      <w:pPr>
        <w:jc w:val="right"/>
      </w:pPr>
      <w:r>
        <w:rPr>
          <w:rFonts w:hint="cs"/>
          <w:rtl/>
        </w:rPr>
        <w:t>האם אלו הערכים הכי טובים? לא יודעים אולי אם נריץ עוד טסטים זה ישתפר.</w:t>
      </w:r>
    </w:p>
    <w:p w:rsidR="0068299A" w:rsidRDefault="00BC723E" w:rsidP="00262D33">
      <w:r>
        <w:rPr>
          <w:rFonts w:hint="cs"/>
          <w:noProof/>
        </w:rPr>
        <w:drawing>
          <wp:anchor distT="0" distB="0" distL="114300" distR="114300" simplePos="0" relativeHeight="251667456" behindDoc="0" locked="0" layoutInCell="1" allowOverlap="1">
            <wp:simplePos x="0" y="0"/>
            <wp:positionH relativeFrom="margin">
              <wp:posOffset>142875</wp:posOffset>
            </wp:positionH>
            <wp:positionV relativeFrom="paragraph">
              <wp:posOffset>295275</wp:posOffset>
            </wp:positionV>
            <wp:extent cx="5788025" cy="3629025"/>
            <wp:effectExtent l="0" t="0" r="3175" b="9525"/>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40).png"/>
                    <pic:cNvPicPr/>
                  </pic:nvPicPr>
                  <pic:blipFill>
                    <a:blip r:embed="rId17">
                      <a:extLst>
                        <a:ext uri="{28A0092B-C50C-407E-A947-70E740481C1C}">
                          <a14:useLocalDpi xmlns:a14="http://schemas.microsoft.com/office/drawing/2010/main" val="0"/>
                        </a:ext>
                      </a:extLst>
                    </a:blip>
                    <a:stretch>
                      <a:fillRect/>
                    </a:stretch>
                  </pic:blipFill>
                  <pic:spPr>
                    <a:xfrm>
                      <a:off x="0" y="0"/>
                      <a:ext cx="5788025" cy="3629025"/>
                    </a:xfrm>
                    <a:prstGeom prst="rect">
                      <a:avLst/>
                    </a:prstGeom>
                  </pic:spPr>
                </pic:pic>
              </a:graphicData>
            </a:graphic>
            <wp14:sizeRelH relativeFrom="margin">
              <wp14:pctWidth>0</wp14:pctWidth>
            </wp14:sizeRelH>
            <wp14:sizeRelV relativeFrom="margin">
              <wp14:pctHeight>0</wp14:pctHeight>
            </wp14:sizeRelV>
          </wp:anchor>
        </w:drawing>
      </w:r>
    </w:p>
    <w:p w:rsidR="0068299A" w:rsidRDefault="00BC723E" w:rsidP="00BC723E">
      <w:pPr>
        <w:jc w:val="right"/>
      </w:pPr>
      <w:r>
        <w:rPr>
          <w:rFonts w:hint="cs"/>
          <w:rtl/>
        </w:rPr>
        <w:lastRenderedPageBreak/>
        <w:t>לעומת הגרף הקודם (לפני באופטימיזציה) ניתן לראות שאנחנו כמעט תמיד נמצאים ברווח  ולמרות שקצת לא מרווחים טוב בהתחלה אחרי טרייד 45 רואים עלייה יפה וקבועה ברווחים.</w:t>
      </w:r>
    </w:p>
    <w:p w:rsidR="0068299A" w:rsidRDefault="00CE5B4C" w:rsidP="00814B25">
      <w:pPr>
        <w:jc w:val="right"/>
        <w:rPr>
          <w:rtl/>
        </w:rPr>
      </w:pPr>
      <w:r>
        <w:t>.</w:t>
      </w:r>
      <w:r w:rsidR="0040137F">
        <w:t>C</w:t>
      </w:r>
    </w:p>
    <w:p w:rsidR="0065650A" w:rsidRDefault="0065650A" w:rsidP="00814B25">
      <w:pPr>
        <w:jc w:val="right"/>
      </w:pPr>
      <w:r>
        <w:rPr>
          <w:rFonts w:hint="cs"/>
          <w:rtl/>
        </w:rPr>
        <w:t>6</w:t>
      </w:r>
    </w:p>
    <w:p w:rsidR="00CE5B4C" w:rsidRDefault="00CE7037" w:rsidP="00814B25">
      <w:pPr>
        <w:jc w:val="right"/>
      </w:pPr>
      <w:r>
        <w:t xml:space="preserve"> C_STOPLOSS</w:t>
      </w:r>
      <w:r w:rsidR="003744F3">
        <w:rPr>
          <w:rFonts w:hint="cs"/>
          <w:rtl/>
        </w:rPr>
        <w:t>שהוגדר</w:t>
      </w:r>
      <w:r>
        <w:rPr>
          <w:rFonts w:hint="cs"/>
          <w:rtl/>
        </w:rPr>
        <w:t xml:space="preserve"> על ערך אמת</w:t>
      </w:r>
      <w:r w:rsidR="003744F3">
        <w:rPr>
          <w:rFonts w:hint="cs"/>
          <w:rtl/>
        </w:rPr>
        <w:t xml:space="preserve">, </w:t>
      </w:r>
      <w:r>
        <w:rPr>
          <w:rFonts w:hint="cs"/>
          <w:rtl/>
        </w:rPr>
        <w:t>עשינו אופטימיזציה לערך שלו</w:t>
      </w:r>
      <w:r w:rsidR="003744F3">
        <w:t xml:space="preserve"> Stop loss</w:t>
      </w:r>
      <w:r w:rsidR="003744F3">
        <w:rPr>
          <w:rFonts w:hint="cs"/>
          <w:rtl/>
        </w:rPr>
        <w:t xml:space="preserve">שמנו את ה </w:t>
      </w:r>
    </w:p>
    <w:p w:rsidR="00BE7D6A" w:rsidRDefault="00CE7037" w:rsidP="00CE7037">
      <w:pPr>
        <w:jc w:val="right"/>
        <w:rPr>
          <w:rtl/>
        </w:rPr>
      </w:pPr>
      <w:r>
        <w:rPr>
          <w:rFonts w:hint="cs"/>
          <w:rtl/>
        </w:rPr>
        <w:t>נראה את הגרף שבנינו:</w:t>
      </w:r>
    </w:p>
    <w:p w:rsidR="00CE7037" w:rsidRDefault="00CE7037" w:rsidP="00CE7037">
      <w:pPr>
        <w:jc w:val="right"/>
      </w:pPr>
      <w:r>
        <w:rPr>
          <w:noProof/>
        </w:rPr>
        <w:drawing>
          <wp:anchor distT="0" distB="0" distL="114300" distR="114300" simplePos="0" relativeHeight="251669504" behindDoc="0" locked="0" layoutInCell="1" allowOverlap="1" wp14:anchorId="052610D1">
            <wp:simplePos x="0" y="0"/>
            <wp:positionH relativeFrom="margin">
              <wp:align>right</wp:align>
            </wp:positionH>
            <wp:positionV relativeFrom="paragraph">
              <wp:posOffset>331470</wp:posOffset>
            </wp:positionV>
            <wp:extent cx="5876925" cy="3309939"/>
            <wp:effectExtent l="0" t="0" r="9525" b="5080"/>
            <wp:wrapSquare wrapText="bothSides"/>
            <wp:docPr id="3" name="תרשים 3">
              <a:extLst xmlns:a="http://schemas.openxmlformats.org/drawingml/2006/main">
                <a:ext uri="{FF2B5EF4-FFF2-40B4-BE49-F238E27FC236}">
                  <a16:creationId xmlns:a16="http://schemas.microsoft.com/office/drawing/2014/main" id="{FD2674D7-F289-43AE-A632-8373BC607D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proofErr w:type="gramStart"/>
      <w:r>
        <w:t>.a</w:t>
      </w:r>
      <w:proofErr w:type="gramEnd"/>
    </w:p>
    <w:p w:rsidR="00CE7037" w:rsidRDefault="00CE7037" w:rsidP="00CE7037">
      <w:pPr>
        <w:jc w:val="right"/>
        <w:rPr>
          <w:rtl/>
        </w:rPr>
      </w:pPr>
    </w:p>
    <w:p w:rsidR="00CE7037" w:rsidRDefault="00CE7037" w:rsidP="00CE7037">
      <w:pPr>
        <w:jc w:val="right"/>
        <w:rPr>
          <w:rtl/>
        </w:rPr>
      </w:pPr>
      <w:r>
        <w:rPr>
          <w:rFonts w:hint="cs"/>
          <w:rtl/>
        </w:rPr>
        <w:t>את האופטימיזציה עשינו על ערכים של 0.1-30 בקפיצות של 0.1 וקיבלנו שהתוצאה הטובה ביותר היא 21.2,</w:t>
      </w:r>
    </w:p>
    <w:p w:rsidR="00CE7037" w:rsidRDefault="00CE7037" w:rsidP="00CE7037">
      <w:pPr>
        <w:jc w:val="right"/>
        <w:rPr>
          <w:rtl/>
        </w:rPr>
      </w:pPr>
      <w:r>
        <w:rPr>
          <w:rFonts w:hint="cs"/>
          <w:rtl/>
        </w:rPr>
        <w:t>אי אפשר היה להציג את כל הערכים, וראינו שעבור ערכים של פרק זמן 1 הם די דומים אז חיברנו אותם ועשינו להם ממוצע והצגנו אותם פה.</w:t>
      </w:r>
    </w:p>
    <w:p w:rsidR="00CE7037" w:rsidRDefault="00CE7037" w:rsidP="00CE7037">
      <w:pPr>
        <w:jc w:val="right"/>
      </w:pPr>
      <w:r>
        <w:t xml:space="preserve"> </w:t>
      </w:r>
      <w:r>
        <w:rPr>
          <w:rFonts w:hint="cs"/>
          <w:rtl/>
        </w:rPr>
        <w:t xml:space="preserve"> למרות שמוצגים בטבלה ערכים שהם יותר גבוהים מהערך שהמערכת בחרה (21.2) אנחנו נבחר להישאר עם</w:t>
      </w:r>
      <w:r>
        <w:t>.b</w:t>
      </w:r>
      <w:r>
        <w:rPr>
          <w:rFonts w:hint="cs"/>
          <w:rtl/>
        </w:rPr>
        <w:t xml:space="preserve"> הערך שקיבלנו מהמערכת על מנת לקבל רווח גבוה יותר בשורה התחתונה.</w:t>
      </w:r>
    </w:p>
    <w:p w:rsidR="00CE7037" w:rsidRDefault="00CE7037" w:rsidP="00CE7037">
      <w:pPr>
        <w:jc w:val="right"/>
        <w:rPr>
          <w:rtl/>
        </w:rPr>
      </w:pPr>
      <w:r>
        <w:rPr>
          <w:rFonts w:hint="cs"/>
          <w:noProof/>
          <w:rtl/>
          <w:lang w:val="he-IL"/>
        </w:rPr>
        <w:drawing>
          <wp:anchor distT="0" distB="0" distL="114300" distR="114300" simplePos="0" relativeHeight="251670528" behindDoc="0" locked="0" layoutInCell="1" allowOverlap="1">
            <wp:simplePos x="0" y="0"/>
            <wp:positionH relativeFrom="margin">
              <wp:align>right</wp:align>
            </wp:positionH>
            <wp:positionV relativeFrom="paragraph">
              <wp:posOffset>307340</wp:posOffset>
            </wp:positionV>
            <wp:extent cx="5943600" cy="1061720"/>
            <wp:effectExtent l="0" t="0" r="0" b="508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oplos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061720"/>
                    </a:xfrm>
                    <a:prstGeom prst="rect">
                      <a:avLst/>
                    </a:prstGeom>
                  </pic:spPr>
                </pic:pic>
              </a:graphicData>
            </a:graphic>
          </wp:anchor>
        </w:drawing>
      </w:r>
      <w:r>
        <w:rPr>
          <w:rFonts w:hint="cs"/>
          <w:rtl/>
        </w:rPr>
        <w:t>דוח וגרף:</w:t>
      </w:r>
    </w:p>
    <w:p w:rsidR="00CE7037" w:rsidRDefault="00CE7037" w:rsidP="00CE7037">
      <w:pPr>
        <w:jc w:val="right"/>
        <w:rPr>
          <w:rtl/>
        </w:rPr>
      </w:pPr>
    </w:p>
    <w:tbl>
      <w:tblPr>
        <w:tblStyle w:val="a8"/>
        <w:tblpPr w:leftFromText="180" w:rightFromText="180" w:vertAnchor="page" w:horzAnchor="margin" w:tblpY="9706"/>
        <w:tblW w:w="0" w:type="auto"/>
        <w:tblLook w:val="04A0" w:firstRow="1" w:lastRow="0" w:firstColumn="1" w:lastColumn="0" w:noHBand="0" w:noVBand="1"/>
      </w:tblPr>
      <w:tblGrid>
        <w:gridCol w:w="3116"/>
        <w:gridCol w:w="3117"/>
        <w:gridCol w:w="3117"/>
      </w:tblGrid>
      <w:tr w:rsidR="00BF0188" w:rsidTr="00BF0188">
        <w:tc>
          <w:tcPr>
            <w:tcW w:w="3116" w:type="dxa"/>
          </w:tcPr>
          <w:p w:rsidR="00BF0188" w:rsidRDefault="00BF0188" w:rsidP="00BF0188"/>
        </w:tc>
        <w:tc>
          <w:tcPr>
            <w:tcW w:w="3117" w:type="dxa"/>
          </w:tcPr>
          <w:p w:rsidR="00BF0188" w:rsidRPr="00582032" w:rsidRDefault="00BF0188" w:rsidP="00BF0188">
            <w:pPr>
              <w:jc w:val="center"/>
              <w:rPr>
                <w:b/>
                <w:bCs/>
                <w:sz w:val="28"/>
                <w:szCs w:val="28"/>
              </w:rPr>
            </w:pPr>
            <w:r>
              <w:rPr>
                <w:rFonts w:hint="cs"/>
                <w:b/>
                <w:bCs/>
                <w:sz w:val="28"/>
                <w:szCs w:val="28"/>
                <w:rtl/>
              </w:rPr>
              <w:t>לפני אופטימיזצי</w:t>
            </w:r>
            <w:r>
              <w:rPr>
                <w:rFonts w:hint="eastAsia"/>
                <w:b/>
                <w:bCs/>
                <w:sz w:val="28"/>
                <w:szCs w:val="28"/>
                <w:rtl/>
              </w:rPr>
              <w:t>ה</w:t>
            </w:r>
          </w:p>
        </w:tc>
        <w:tc>
          <w:tcPr>
            <w:tcW w:w="3117" w:type="dxa"/>
          </w:tcPr>
          <w:p w:rsidR="00BF0188" w:rsidRDefault="00BF0188" w:rsidP="00BF0188">
            <w:pPr>
              <w:jc w:val="center"/>
            </w:pPr>
            <w:r>
              <w:rPr>
                <w:rFonts w:hint="cs"/>
                <w:b/>
                <w:bCs/>
                <w:sz w:val="28"/>
                <w:szCs w:val="28"/>
                <w:rtl/>
              </w:rPr>
              <w:t>אחרי אופטימיזציה</w:t>
            </w:r>
          </w:p>
        </w:tc>
      </w:tr>
      <w:tr w:rsidR="00BF0188" w:rsidTr="00BF0188">
        <w:tc>
          <w:tcPr>
            <w:tcW w:w="3116" w:type="dxa"/>
          </w:tcPr>
          <w:p w:rsidR="00BF0188" w:rsidRDefault="00BF0188" w:rsidP="00BF0188">
            <w:r>
              <w:t>Total net profit</w:t>
            </w:r>
          </w:p>
        </w:tc>
        <w:tc>
          <w:tcPr>
            <w:tcW w:w="3117" w:type="dxa"/>
          </w:tcPr>
          <w:p w:rsidR="00BF0188" w:rsidRDefault="00BF0188" w:rsidP="00BF0188">
            <w:pPr>
              <w:jc w:val="center"/>
            </w:pPr>
            <w:r>
              <w:t>$105,160.00</w:t>
            </w:r>
          </w:p>
        </w:tc>
        <w:tc>
          <w:tcPr>
            <w:tcW w:w="3117" w:type="dxa"/>
          </w:tcPr>
          <w:p w:rsidR="00BF0188" w:rsidRDefault="00BF0188" w:rsidP="00BF0188">
            <w:pPr>
              <w:jc w:val="center"/>
            </w:pPr>
            <w:r>
              <w:t>$111,150.00</w:t>
            </w:r>
          </w:p>
        </w:tc>
      </w:tr>
      <w:tr w:rsidR="00BF0188" w:rsidTr="00BF0188">
        <w:tc>
          <w:tcPr>
            <w:tcW w:w="3116" w:type="dxa"/>
          </w:tcPr>
          <w:p w:rsidR="00BF0188" w:rsidRDefault="00BF0188" w:rsidP="00BF0188">
            <w:r>
              <w:t>Profit factor</w:t>
            </w:r>
          </w:p>
        </w:tc>
        <w:tc>
          <w:tcPr>
            <w:tcW w:w="3117" w:type="dxa"/>
          </w:tcPr>
          <w:p w:rsidR="00BF0188" w:rsidRDefault="00BF0188" w:rsidP="00BF0188">
            <w:pPr>
              <w:jc w:val="center"/>
            </w:pPr>
            <w:r>
              <w:t>1.89</w:t>
            </w:r>
          </w:p>
        </w:tc>
        <w:tc>
          <w:tcPr>
            <w:tcW w:w="3117" w:type="dxa"/>
          </w:tcPr>
          <w:p w:rsidR="00BF0188" w:rsidRDefault="00BF0188" w:rsidP="00BF0188">
            <w:pPr>
              <w:jc w:val="center"/>
            </w:pPr>
            <w:r>
              <w:t>1.99</w:t>
            </w:r>
          </w:p>
        </w:tc>
      </w:tr>
      <w:tr w:rsidR="00BF0188" w:rsidTr="00BF0188">
        <w:tc>
          <w:tcPr>
            <w:tcW w:w="3116" w:type="dxa"/>
          </w:tcPr>
          <w:p w:rsidR="00BF0188" w:rsidRDefault="00BF0188" w:rsidP="00BF0188">
            <w:r>
              <w:t>Total number of trades</w:t>
            </w:r>
          </w:p>
        </w:tc>
        <w:tc>
          <w:tcPr>
            <w:tcW w:w="3117" w:type="dxa"/>
          </w:tcPr>
          <w:p w:rsidR="00BF0188" w:rsidRDefault="00BF0188" w:rsidP="00BF0188">
            <w:pPr>
              <w:jc w:val="center"/>
            </w:pPr>
            <w:r>
              <w:t>83</w:t>
            </w:r>
          </w:p>
        </w:tc>
        <w:tc>
          <w:tcPr>
            <w:tcW w:w="3117" w:type="dxa"/>
          </w:tcPr>
          <w:p w:rsidR="00BF0188" w:rsidRDefault="00BF0188" w:rsidP="00BF0188">
            <w:pPr>
              <w:jc w:val="center"/>
            </w:pPr>
            <w:r>
              <w:t>83</w:t>
            </w:r>
          </w:p>
        </w:tc>
      </w:tr>
      <w:tr w:rsidR="00BF0188" w:rsidTr="00BF0188">
        <w:tc>
          <w:tcPr>
            <w:tcW w:w="3116" w:type="dxa"/>
          </w:tcPr>
          <w:p w:rsidR="00BF0188" w:rsidRDefault="00BF0188" w:rsidP="00BF0188">
            <w:r>
              <w:t>Total long trades</w:t>
            </w:r>
          </w:p>
        </w:tc>
        <w:tc>
          <w:tcPr>
            <w:tcW w:w="3117" w:type="dxa"/>
          </w:tcPr>
          <w:p w:rsidR="00BF0188" w:rsidRDefault="00BF0188" w:rsidP="00BF0188">
            <w:pPr>
              <w:jc w:val="center"/>
            </w:pPr>
            <w:r>
              <w:t>60</w:t>
            </w:r>
          </w:p>
        </w:tc>
        <w:tc>
          <w:tcPr>
            <w:tcW w:w="3117" w:type="dxa"/>
          </w:tcPr>
          <w:p w:rsidR="00BF0188" w:rsidRDefault="00BF0188" w:rsidP="00BF0188">
            <w:pPr>
              <w:jc w:val="center"/>
            </w:pPr>
            <w:r>
              <w:t>60</w:t>
            </w:r>
          </w:p>
        </w:tc>
      </w:tr>
      <w:tr w:rsidR="00BF0188" w:rsidTr="00BF0188">
        <w:tc>
          <w:tcPr>
            <w:tcW w:w="3116" w:type="dxa"/>
          </w:tcPr>
          <w:p w:rsidR="00BF0188" w:rsidRDefault="00BF0188" w:rsidP="00BF0188">
            <w:r>
              <w:t>Total short trades</w:t>
            </w:r>
          </w:p>
        </w:tc>
        <w:tc>
          <w:tcPr>
            <w:tcW w:w="3117" w:type="dxa"/>
          </w:tcPr>
          <w:p w:rsidR="00BF0188" w:rsidRDefault="00BF0188" w:rsidP="00BF0188">
            <w:pPr>
              <w:jc w:val="center"/>
            </w:pPr>
            <w:r>
              <w:t>23</w:t>
            </w:r>
          </w:p>
        </w:tc>
        <w:tc>
          <w:tcPr>
            <w:tcW w:w="3117" w:type="dxa"/>
          </w:tcPr>
          <w:p w:rsidR="00BF0188" w:rsidRDefault="00BF0188" w:rsidP="00BF0188">
            <w:pPr>
              <w:jc w:val="center"/>
            </w:pPr>
            <w:r>
              <w:t>23</w:t>
            </w:r>
          </w:p>
        </w:tc>
      </w:tr>
      <w:tr w:rsidR="00BF0188" w:rsidTr="00BF0188">
        <w:tc>
          <w:tcPr>
            <w:tcW w:w="3116" w:type="dxa"/>
          </w:tcPr>
          <w:p w:rsidR="00BF0188" w:rsidRDefault="00BF0188" w:rsidP="00BF0188">
            <w:r>
              <w:t>Percent profitable</w:t>
            </w:r>
          </w:p>
        </w:tc>
        <w:tc>
          <w:tcPr>
            <w:tcW w:w="3117" w:type="dxa"/>
          </w:tcPr>
          <w:p w:rsidR="00BF0188" w:rsidRDefault="00BF0188" w:rsidP="00BF0188">
            <w:pPr>
              <w:jc w:val="center"/>
            </w:pPr>
            <w:r>
              <w:t>61.45%</w:t>
            </w:r>
          </w:p>
        </w:tc>
        <w:tc>
          <w:tcPr>
            <w:tcW w:w="3117" w:type="dxa"/>
          </w:tcPr>
          <w:p w:rsidR="00BF0188" w:rsidRDefault="00BF0188" w:rsidP="00BF0188">
            <w:pPr>
              <w:jc w:val="center"/>
            </w:pPr>
            <w:r>
              <w:t>61.45%</w:t>
            </w:r>
          </w:p>
        </w:tc>
      </w:tr>
      <w:tr w:rsidR="00BF0188" w:rsidTr="00BF0188">
        <w:tc>
          <w:tcPr>
            <w:tcW w:w="3116" w:type="dxa"/>
          </w:tcPr>
          <w:p w:rsidR="00BF0188" w:rsidRDefault="00BF0188" w:rsidP="00BF0188">
            <w:r>
              <w:t>Winning trades</w:t>
            </w:r>
          </w:p>
        </w:tc>
        <w:tc>
          <w:tcPr>
            <w:tcW w:w="3117" w:type="dxa"/>
          </w:tcPr>
          <w:p w:rsidR="00BF0188" w:rsidRDefault="00BF0188" w:rsidP="00BF0188">
            <w:pPr>
              <w:jc w:val="center"/>
            </w:pPr>
            <w:r>
              <w:t>51</w:t>
            </w:r>
          </w:p>
        </w:tc>
        <w:tc>
          <w:tcPr>
            <w:tcW w:w="3117" w:type="dxa"/>
          </w:tcPr>
          <w:p w:rsidR="00BF0188" w:rsidRDefault="00BF0188" w:rsidP="00BF0188">
            <w:pPr>
              <w:jc w:val="center"/>
            </w:pPr>
            <w:r>
              <w:t>51</w:t>
            </w:r>
          </w:p>
        </w:tc>
      </w:tr>
      <w:tr w:rsidR="00BF0188" w:rsidTr="00BF0188">
        <w:tc>
          <w:tcPr>
            <w:tcW w:w="3116" w:type="dxa"/>
          </w:tcPr>
          <w:p w:rsidR="00BF0188" w:rsidRDefault="00BF0188" w:rsidP="00BF0188">
            <w:r>
              <w:t>Return on initial capital</w:t>
            </w:r>
          </w:p>
        </w:tc>
        <w:tc>
          <w:tcPr>
            <w:tcW w:w="3117" w:type="dxa"/>
          </w:tcPr>
          <w:p w:rsidR="00BF0188" w:rsidRDefault="00BF0188" w:rsidP="00BF0188">
            <w:pPr>
              <w:jc w:val="center"/>
            </w:pPr>
            <w:r>
              <w:t>105.16%</w:t>
            </w:r>
          </w:p>
        </w:tc>
        <w:tc>
          <w:tcPr>
            <w:tcW w:w="3117" w:type="dxa"/>
          </w:tcPr>
          <w:p w:rsidR="00BF0188" w:rsidRDefault="00BF0188" w:rsidP="00BF0188">
            <w:pPr>
              <w:jc w:val="center"/>
            </w:pPr>
            <w:r>
              <w:t>111.15%</w:t>
            </w:r>
          </w:p>
        </w:tc>
      </w:tr>
      <w:tr w:rsidR="00BF0188" w:rsidTr="00BF0188">
        <w:tc>
          <w:tcPr>
            <w:tcW w:w="3116" w:type="dxa"/>
          </w:tcPr>
          <w:p w:rsidR="00BF0188" w:rsidRDefault="00BF0188" w:rsidP="00BF0188">
            <w:r>
              <w:t>Return retracement ratio</w:t>
            </w:r>
          </w:p>
        </w:tc>
        <w:tc>
          <w:tcPr>
            <w:tcW w:w="3117" w:type="dxa"/>
          </w:tcPr>
          <w:p w:rsidR="00BF0188" w:rsidRDefault="00BF0188" w:rsidP="00BF0188">
            <w:pPr>
              <w:jc w:val="center"/>
            </w:pPr>
            <w:r>
              <w:t>0.61</w:t>
            </w:r>
          </w:p>
        </w:tc>
        <w:tc>
          <w:tcPr>
            <w:tcW w:w="3117" w:type="dxa"/>
          </w:tcPr>
          <w:p w:rsidR="00BF0188" w:rsidRDefault="00BF0188" w:rsidP="00BF0188">
            <w:pPr>
              <w:jc w:val="center"/>
            </w:pPr>
            <w:r>
              <w:t>0.83</w:t>
            </w:r>
          </w:p>
        </w:tc>
      </w:tr>
      <w:tr w:rsidR="00BF0188" w:rsidTr="00BF0188">
        <w:tc>
          <w:tcPr>
            <w:tcW w:w="3116" w:type="dxa"/>
          </w:tcPr>
          <w:p w:rsidR="00BF0188" w:rsidRDefault="00BF0188" w:rsidP="00BF0188">
            <w:r>
              <w:t>Max drawdown</w:t>
            </w:r>
          </w:p>
        </w:tc>
        <w:tc>
          <w:tcPr>
            <w:tcW w:w="3117" w:type="dxa"/>
          </w:tcPr>
          <w:p w:rsidR="00BF0188" w:rsidRDefault="00BF0188" w:rsidP="00BF0188">
            <w:pPr>
              <w:jc w:val="center"/>
            </w:pPr>
            <w:r>
              <w:t>31,630</w:t>
            </w:r>
          </w:p>
        </w:tc>
        <w:tc>
          <w:tcPr>
            <w:tcW w:w="3117" w:type="dxa"/>
          </w:tcPr>
          <w:p w:rsidR="00BF0188" w:rsidRDefault="00BF0188" w:rsidP="00BF0188">
            <w:pPr>
              <w:jc w:val="center"/>
            </w:pPr>
            <w:r>
              <w:t>25,890</w:t>
            </w:r>
          </w:p>
        </w:tc>
      </w:tr>
      <w:tr w:rsidR="00BF0188" w:rsidTr="00BF0188">
        <w:tc>
          <w:tcPr>
            <w:tcW w:w="3116" w:type="dxa"/>
          </w:tcPr>
          <w:p w:rsidR="00BF0188" w:rsidRDefault="00BF0188" w:rsidP="00BF0188">
            <w:r>
              <w:t>Net profit as % of drawdown</w:t>
            </w:r>
          </w:p>
        </w:tc>
        <w:tc>
          <w:tcPr>
            <w:tcW w:w="3117" w:type="dxa"/>
          </w:tcPr>
          <w:p w:rsidR="00BF0188" w:rsidRDefault="00BF0188" w:rsidP="00BF0188">
            <w:pPr>
              <w:jc w:val="center"/>
            </w:pPr>
            <w:r>
              <w:t>332.47%</w:t>
            </w:r>
          </w:p>
        </w:tc>
        <w:tc>
          <w:tcPr>
            <w:tcW w:w="3117" w:type="dxa"/>
          </w:tcPr>
          <w:p w:rsidR="00BF0188" w:rsidRDefault="00BF0188" w:rsidP="00BF0188">
            <w:pPr>
              <w:jc w:val="center"/>
            </w:pPr>
            <w:r>
              <w:t>429.32%</w:t>
            </w:r>
          </w:p>
        </w:tc>
      </w:tr>
      <w:tr w:rsidR="00BF0188" w:rsidTr="00BF0188">
        <w:tc>
          <w:tcPr>
            <w:tcW w:w="3116" w:type="dxa"/>
          </w:tcPr>
          <w:p w:rsidR="00BF0188" w:rsidRDefault="00BF0188" w:rsidP="00BF0188">
            <w:r>
              <w:t>Max shares/contracts held</w:t>
            </w:r>
          </w:p>
        </w:tc>
        <w:tc>
          <w:tcPr>
            <w:tcW w:w="3117" w:type="dxa"/>
          </w:tcPr>
          <w:p w:rsidR="00BF0188" w:rsidRDefault="00BF0188" w:rsidP="00BF0188">
            <w:pPr>
              <w:jc w:val="center"/>
            </w:pPr>
            <w:r>
              <w:t>1000</w:t>
            </w:r>
          </w:p>
        </w:tc>
        <w:tc>
          <w:tcPr>
            <w:tcW w:w="3117" w:type="dxa"/>
          </w:tcPr>
          <w:p w:rsidR="00BF0188" w:rsidRDefault="00BF0188" w:rsidP="00BF0188">
            <w:pPr>
              <w:jc w:val="center"/>
            </w:pPr>
            <w:r>
              <w:t>1000</w:t>
            </w:r>
          </w:p>
        </w:tc>
      </w:tr>
      <w:tr w:rsidR="00BF0188" w:rsidTr="00BF0188">
        <w:tc>
          <w:tcPr>
            <w:tcW w:w="3116" w:type="dxa"/>
          </w:tcPr>
          <w:p w:rsidR="00BF0188" w:rsidRDefault="00BF0188" w:rsidP="00BF0188">
            <w:r>
              <w:t>Max drawdown as % of initial capital</w:t>
            </w:r>
          </w:p>
        </w:tc>
        <w:tc>
          <w:tcPr>
            <w:tcW w:w="3117" w:type="dxa"/>
          </w:tcPr>
          <w:p w:rsidR="00BF0188" w:rsidRDefault="00BF0188" w:rsidP="00BF0188">
            <w:pPr>
              <w:jc w:val="center"/>
            </w:pPr>
            <w:r>
              <w:t>31.63%</w:t>
            </w:r>
          </w:p>
        </w:tc>
        <w:tc>
          <w:tcPr>
            <w:tcW w:w="3117" w:type="dxa"/>
          </w:tcPr>
          <w:p w:rsidR="00BF0188" w:rsidRDefault="00BF0188" w:rsidP="00BF0188">
            <w:pPr>
              <w:jc w:val="center"/>
            </w:pPr>
            <w:r>
              <w:t>23.10%</w:t>
            </w:r>
          </w:p>
        </w:tc>
      </w:tr>
    </w:tbl>
    <w:p w:rsidR="00BF0188" w:rsidRDefault="00CE7037" w:rsidP="00BF0188">
      <w:pPr>
        <w:jc w:val="right"/>
        <w:rPr>
          <w:rtl/>
        </w:rPr>
      </w:pPr>
      <w:r>
        <w:rPr>
          <w:rFonts w:hint="cs"/>
          <w:noProof/>
          <w:rtl/>
          <w:lang w:val="he-IL"/>
        </w:rPr>
        <w:drawing>
          <wp:anchor distT="0" distB="0" distL="114300" distR="114300" simplePos="0" relativeHeight="251671552" behindDoc="0" locked="0" layoutInCell="1" allowOverlap="1">
            <wp:simplePos x="0" y="0"/>
            <wp:positionH relativeFrom="margin">
              <wp:align>right</wp:align>
            </wp:positionH>
            <wp:positionV relativeFrom="paragraph">
              <wp:posOffset>0</wp:posOffset>
            </wp:positionV>
            <wp:extent cx="5857875" cy="4565015"/>
            <wp:effectExtent l="0" t="0" r="9525" b="6985"/>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oploss g.png"/>
                    <pic:cNvPicPr/>
                  </pic:nvPicPr>
                  <pic:blipFill>
                    <a:blip r:embed="rId20">
                      <a:extLst>
                        <a:ext uri="{28A0092B-C50C-407E-A947-70E740481C1C}">
                          <a14:useLocalDpi xmlns:a14="http://schemas.microsoft.com/office/drawing/2010/main" val="0"/>
                        </a:ext>
                      </a:extLst>
                    </a:blip>
                    <a:stretch>
                      <a:fillRect/>
                    </a:stretch>
                  </pic:blipFill>
                  <pic:spPr>
                    <a:xfrm>
                      <a:off x="0" y="0"/>
                      <a:ext cx="5857875" cy="4565015"/>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נית</w:t>
      </w:r>
      <w:r w:rsidR="00E7099E">
        <w:rPr>
          <w:rFonts w:hint="cs"/>
          <w:rtl/>
        </w:rPr>
        <w:t>ן</w:t>
      </w:r>
      <w:r>
        <w:rPr>
          <w:rFonts w:hint="cs"/>
          <w:rtl/>
        </w:rPr>
        <w:t xml:space="preserve"> לראות שגם הגדלנו רווחים וגם </w:t>
      </w:r>
      <w:r w:rsidR="00BF0188">
        <w:rPr>
          <w:rFonts w:hint="cs"/>
          <w:rtl/>
        </w:rPr>
        <w:t>ההפסדים הכלליים ירדו, נראה השוואה:</w:t>
      </w:r>
    </w:p>
    <w:p w:rsidR="00E7099E" w:rsidRDefault="00E7099E" w:rsidP="00BF0188">
      <w:pPr>
        <w:jc w:val="right"/>
        <w:rPr>
          <w:rtl/>
        </w:rPr>
      </w:pPr>
    </w:p>
    <w:p w:rsidR="00E7099E" w:rsidRDefault="00E7099E" w:rsidP="00BF0188">
      <w:pPr>
        <w:jc w:val="right"/>
        <w:rPr>
          <w:rtl/>
        </w:rPr>
      </w:pPr>
    </w:p>
    <w:p w:rsidR="00E7099E" w:rsidRDefault="00E7099E" w:rsidP="00BF0188">
      <w:pPr>
        <w:jc w:val="right"/>
        <w:rPr>
          <w:rtl/>
        </w:rPr>
      </w:pPr>
      <w:r>
        <w:rPr>
          <w:rFonts w:hint="cs"/>
          <w:rtl/>
        </w:rPr>
        <w:lastRenderedPageBreak/>
        <w:t>. כמו כן רואים בגרף</w:t>
      </w:r>
      <w:r>
        <w:t>Max Drawdown</w:t>
      </w:r>
      <w:r>
        <w:rPr>
          <w:rFonts w:hint="cs"/>
          <w:rtl/>
        </w:rPr>
        <w:t xml:space="preserve">וירידה ב </w:t>
      </w:r>
      <w:r>
        <w:t>Profit factor</w:t>
      </w:r>
      <w:r>
        <w:rPr>
          <w:rFonts w:hint="cs"/>
          <w:rtl/>
        </w:rPr>
        <w:t xml:space="preserve">ניתן לראות שיפור של 6,000$ ברווחים, עלייה ב </w:t>
      </w:r>
      <w:r>
        <w:rPr>
          <w:rtl/>
        </w:rPr>
        <w:t>–</w:t>
      </w:r>
      <w:r>
        <w:rPr>
          <w:rFonts w:hint="cs"/>
          <w:rtl/>
        </w:rPr>
        <w:t xml:space="preserve"> </w:t>
      </w:r>
    </w:p>
    <w:p w:rsidR="00E7099E" w:rsidRDefault="00E7099E" w:rsidP="00BF0188">
      <w:pPr>
        <w:jc w:val="right"/>
        <w:rPr>
          <w:rtl/>
        </w:rPr>
      </w:pPr>
      <w:r>
        <w:rPr>
          <w:rFonts w:hint="cs"/>
          <w:rtl/>
        </w:rPr>
        <w:t>שיפור בצורת עלייתו ואין אפילו ירידה אחת מתחת לקו ההפסדים.</w:t>
      </w:r>
    </w:p>
    <w:p w:rsidR="00E7099E" w:rsidRDefault="00E7099E" w:rsidP="00BF0188">
      <w:pPr>
        <w:jc w:val="right"/>
      </w:pPr>
      <w:r>
        <w:t>.c</w:t>
      </w:r>
    </w:p>
    <w:p w:rsidR="00E7099E" w:rsidRDefault="00E720B6" w:rsidP="00BF0188">
      <w:pPr>
        <w:jc w:val="right"/>
        <w:rPr>
          <w:rtl/>
        </w:rPr>
      </w:pPr>
      <w:r>
        <w:rPr>
          <w:rFonts w:hint="cs"/>
          <w:rtl/>
        </w:rPr>
        <w:t>לפני:</w:t>
      </w:r>
    </w:p>
    <w:p w:rsidR="00E720B6" w:rsidRDefault="00E720B6" w:rsidP="00BF0188">
      <w:pPr>
        <w:jc w:val="right"/>
        <w:rPr>
          <w:rtl/>
        </w:rPr>
      </w:pPr>
      <w:r>
        <w:rPr>
          <w:noProof/>
          <w:rtl/>
          <w:lang w:val="he-IL"/>
        </w:rPr>
        <w:drawing>
          <wp:anchor distT="0" distB="0" distL="114300" distR="114300" simplePos="0" relativeHeight="251672576" behindDoc="0" locked="0" layoutInCell="1" allowOverlap="1">
            <wp:simplePos x="0" y="0"/>
            <wp:positionH relativeFrom="margin">
              <wp:align>center</wp:align>
            </wp:positionH>
            <wp:positionV relativeFrom="paragraph">
              <wp:posOffset>12065</wp:posOffset>
            </wp:positionV>
            <wp:extent cx="4304030" cy="2924175"/>
            <wp:effectExtent l="0" t="0" r="1270" b="9525"/>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4)_LI.jpg"/>
                    <pic:cNvPicPr/>
                  </pic:nvPicPr>
                  <pic:blipFill>
                    <a:blip r:embed="rId21">
                      <a:extLst>
                        <a:ext uri="{28A0092B-C50C-407E-A947-70E740481C1C}">
                          <a14:useLocalDpi xmlns:a14="http://schemas.microsoft.com/office/drawing/2010/main" val="0"/>
                        </a:ext>
                      </a:extLst>
                    </a:blip>
                    <a:stretch>
                      <a:fillRect/>
                    </a:stretch>
                  </pic:blipFill>
                  <pic:spPr>
                    <a:xfrm>
                      <a:off x="0" y="0"/>
                      <a:ext cx="4304030" cy="2924175"/>
                    </a:xfrm>
                    <a:prstGeom prst="rect">
                      <a:avLst/>
                    </a:prstGeom>
                  </pic:spPr>
                </pic:pic>
              </a:graphicData>
            </a:graphic>
            <wp14:sizeRelH relativeFrom="margin">
              <wp14:pctWidth>0</wp14:pctWidth>
            </wp14:sizeRelH>
            <wp14:sizeRelV relativeFrom="margin">
              <wp14:pctHeight>0</wp14:pctHeight>
            </wp14:sizeRelV>
          </wp:anchor>
        </w:drawing>
      </w:r>
    </w:p>
    <w:p w:rsidR="00E720B6" w:rsidRDefault="00E720B6" w:rsidP="00BF0188">
      <w:pPr>
        <w:jc w:val="right"/>
        <w:rPr>
          <w:rtl/>
        </w:rPr>
      </w:pPr>
    </w:p>
    <w:p w:rsidR="00E720B6" w:rsidRDefault="00E720B6" w:rsidP="00BF0188">
      <w:pPr>
        <w:jc w:val="right"/>
        <w:rPr>
          <w:rtl/>
        </w:rPr>
      </w:pPr>
    </w:p>
    <w:p w:rsidR="00E720B6" w:rsidRDefault="00E720B6" w:rsidP="00BF0188">
      <w:pPr>
        <w:jc w:val="right"/>
        <w:rPr>
          <w:rtl/>
        </w:rPr>
      </w:pPr>
    </w:p>
    <w:p w:rsidR="00E720B6" w:rsidRDefault="00E720B6" w:rsidP="00BF0188">
      <w:pPr>
        <w:jc w:val="right"/>
        <w:rPr>
          <w:rtl/>
        </w:rPr>
      </w:pPr>
    </w:p>
    <w:p w:rsidR="00E720B6" w:rsidRDefault="00E720B6" w:rsidP="00BF0188">
      <w:pPr>
        <w:jc w:val="right"/>
        <w:rPr>
          <w:rtl/>
        </w:rPr>
      </w:pPr>
    </w:p>
    <w:p w:rsidR="00E720B6" w:rsidRDefault="00E720B6" w:rsidP="00BF0188">
      <w:pPr>
        <w:jc w:val="right"/>
        <w:rPr>
          <w:rtl/>
        </w:rPr>
      </w:pPr>
    </w:p>
    <w:p w:rsidR="00E720B6" w:rsidRDefault="00E720B6" w:rsidP="00BF0188">
      <w:pPr>
        <w:jc w:val="right"/>
        <w:rPr>
          <w:rtl/>
        </w:rPr>
      </w:pPr>
    </w:p>
    <w:p w:rsidR="00E720B6" w:rsidRDefault="00E720B6" w:rsidP="00BF0188">
      <w:pPr>
        <w:jc w:val="right"/>
        <w:rPr>
          <w:rtl/>
        </w:rPr>
      </w:pPr>
    </w:p>
    <w:p w:rsidR="00E720B6" w:rsidRDefault="00E720B6" w:rsidP="00BF0188">
      <w:pPr>
        <w:jc w:val="right"/>
        <w:rPr>
          <w:rtl/>
        </w:rPr>
      </w:pPr>
    </w:p>
    <w:p w:rsidR="00E720B6" w:rsidRDefault="00E720B6" w:rsidP="00BF0188">
      <w:pPr>
        <w:jc w:val="right"/>
        <w:rPr>
          <w:rtl/>
        </w:rPr>
      </w:pPr>
    </w:p>
    <w:p w:rsidR="00E720B6" w:rsidRDefault="00E720B6" w:rsidP="00BF0188">
      <w:pPr>
        <w:jc w:val="right"/>
        <w:rPr>
          <w:rtl/>
        </w:rPr>
      </w:pPr>
      <w:r>
        <w:rPr>
          <w:rFonts w:hint="cs"/>
          <w:rtl/>
        </w:rPr>
        <w:t>אחרי:</w:t>
      </w:r>
    </w:p>
    <w:p w:rsidR="00E720B6" w:rsidRDefault="00E720B6" w:rsidP="00E720B6">
      <w:pPr>
        <w:jc w:val="right"/>
        <w:rPr>
          <w:rtl/>
        </w:rPr>
      </w:pPr>
      <w:r>
        <w:rPr>
          <w:noProof/>
          <w:rtl/>
          <w:lang w:val="he-IL"/>
        </w:rPr>
        <w:drawing>
          <wp:anchor distT="0" distB="0" distL="114300" distR="114300" simplePos="0" relativeHeight="251673600" behindDoc="0" locked="0" layoutInCell="1" allowOverlap="1">
            <wp:simplePos x="0" y="0"/>
            <wp:positionH relativeFrom="margin">
              <wp:align>center</wp:align>
            </wp:positionH>
            <wp:positionV relativeFrom="paragraph">
              <wp:posOffset>108585</wp:posOffset>
            </wp:positionV>
            <wp:extent cx="4076065" cy="3315970"/>
            <wp:effectExtent l="0" t="0" r="635"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5)_LI.jpg"/>
                    <pic:cNvPicPr/>
                  </pic:nvPicPr>
                  <pic:blipFill>
                    <a:blip r:embed="rId22">
                      <a:extLst>
                        <a:ext uri="{28A0092B-C50C-407E-A947-70E740481C1C}">
                          <a14:useLocalDpi xmlns:a14="http://schemas.microsoft.com/office/drawing/2010/main" val="0"/>
                        </a:ext>
                      </a:extLst>
                    </a:blip>
                    <a:stretch>
                      <a:fillRect/>
                    </a:stretch>
                  </pic:blipFill>
                  <pic:spPr>
                    <a:xfrm>
                      <a:off x="0" y="0"/>
                      <a:ext cx="4076065" cy="3315970"/>
                    </a:xfrm>
                    <a:prstGeom prst="rect">
                      <a:avLst/>
                    </a:prstGeom>
                  </pic:spPr>
                </pic:pic>
              </a:graphicData>
            </a:graphic>
            <wp14:sizeRelH relativeFrom="margin">
              <wp14:pctWidth>0</wp14:pctWidth>
            </wp14:sizeRelH>
            <wp14:sizeRelV relativeFrom="margin">
              <wp14:pctHeight>0</wp14:pctHeight>
            </wp14:sizeRelV>
          </wp:anchor>
        </w:drawing>
      </w:r>
    </w:p>
    <w:p w:rsidR="00E720B6" w:rsidRDefault="00E720B6" w:rsidP="00E720B6">
      <w:pPr>
        <w:jc w:val="right"/>
        <w:rPr>
          <w:rtl/>
        </w:rPr>
      </w:pPr>
    </w:p>
    <w:p w:rsidR="00E720B6" w:rsidRDefault="00E720B6" w:rsidP="00E720B6">
      <w:pPr>
        <w:jc w:val="right"/>
        <w:rPr>
          <w:rtl/>
        </w:rPr>
      </w:pPr>
    </w:p>
    <w:p w:rsidR="00E720B6" w:rsidRDefault="00E720B6" w:rsidP="00E720B6">
      <w:pPr>
        <w:jc w:val="right"/>
        <w:rPr>
          <w:rtl/>
        </w:rPr>
      </w:pPr>
    </w:p>
    <w:p w:rsidR="00E720B6" w:rsidRDefault="00E720B6" w:rsidP="00E720B6">
      <w:pPr>
        <w:jc w:val="right"/>
        <w:rPr>
          <w:rtl/>
        </w:rPr>
      </w:pPr>
    </w:p>
    <w:p w:rsidR="00E720B6" w:rsidRDefault="00E720B6" w:rsidP="00E720B6">
      <w:pPr>
        <w:jc w:val="right"/>
        <w:rPr>
          <w:rtl/>
        </w:rPr>
      </w:pPr>
    </w:p>
    <w:p w:rsidR="00E720B6" w:rsidRDefault="00E720B6" w:rsidP="00E720B6">
      <w:pPr>
        <w:jc w:val="right"/>
        <w:rPr>
          <w:rtl/>
        </w:rPr>
      </w:pPr>
    </w:p>
    <w:p w:rsidR="00E720B6" w:rsidRDefault="00E720B6" w:rsidP="00E720B6">
      <w:pPr>
        <w:jc w:val="right"/>
        <w:rPr>
          <w:rtl/>
        </w:rPr>
      </w:pPr>
    </w:p>
    <w:p w:rsidR="00E720B6" w:rsidRDefault="00E720B6" w:rsidP="00E720B6">
      <w:pPr>
        <w:jc w:val="right"/>
        <w:rPr>
          <w:rtl/>
        </w:rPr>
      </w:pPr>
    </w:p>
    <w:p w:rsidR="00E720B6" w:rsidRDefault="00E720B6" w:rsidP="00E720B6">
      <w:pPr>
        <w:jc w:val="right"/>
        <w:rPr>
          <w:rtl/>
        </w:rPr>
      </w:pPr>
    </w:p>
    <w:p w:rsidR="00E720B6" w:rsidRDefault="00E720B6" w:rsidP="00E720B6">
      <w:pPr>
        <w:jc w:val="right"/>
        <w:rPr>
          <w:rtl/>
        </w:rPr>
      </w:pPr>
    </w:p>
    <w:p w:rsidR="00E720B6" w:rsidRDefault="00E720B6" w:rsidP="00E720B6">
      <w:pPr>
        <w:jc w:val="right"/>
        <w:rPr>
          <w:rtl/>
        </w:rPr>
      </w:pPr>
    </w:p>
    <w:p w:rsidR="00E720B6" w:rsidRDefault="00E720B6" w:rsidP="00E720B6">
      <w:pPr>
        <w:jc w:val="right"/>
        <w:rPr>
          <w:rtl/>
        </w:rPr>
      </w:pPr>
    </w:p>
    <w:p w:rsidR="00E720B6" w:rsidRDefault="00856323" w:rsidP="00856323">
      <w:pPr>
        <w:rPr>
          <w:rtl/>
        </w:rPr>
      </w:pPr>
      <w:r>
        <w:t xml:space="preserve"> </w:t>
      </w:r>
    </w:p>
    <w:p w:rsidR="00856323" w:rsidRDefault="00856323" w:rsidP="00856323">
      <w:pPr>
        <w:jc w:val="right"/>
      </w:pPr>
      <w:proofErr w:type="gramStart"/>
      <w:r>
        <w:rPr>
          <w:rFonts w:cs="Arial"/>
        </w:rPr>
        <w:lastRenderedPageBreak/>
        <w:t xml:space="preserve">Stoploss </w:t>
      </w:r>
      <w:r>
        <w:rPr>
          <w:rFonts w:cs="Arial" w:hint="cs"/>
          <w:rtl/>
        </w:rPr>
        <w:t>,</w:t>
      </w:r>
      <w:proofErr w:type="gramEnd"/>
      <w:r>
        <w:rPr>
          <w:rFonts w:cs="Arial" w:hint="cs"/>
          <w:rtl/>
        </w:rPr>
        <w:t xml:space="preserve"> אפשר להבחין שאחרי שילוב המשתנה של ה </w:t>
      </w:r>
      <w:r>
        <w:rPr>
          <w:rFonts w:cs="Arial"/>
        </w:rPr>
        <w:t xml:space="preserve">Drawdown </w:t>
      </w:r>
      <w:r>
        <w:rPr>
          <w:rFonts w:cs="Arial" w:hint="cs"/>
          <w:rtl/>
        </w:rPr>
        <w:t xml:space="preserve">נשים לב שהגרף הוא לפי אחוזי </w:t>
      </w:r>
    </w:p>
    <w:p w:rsidR="00E720B6" w:rsidRDefault="00856323" w:rsidP="00E720B6">
      <w:pPr>
        <w:jc w:val="right"/>
        <w:rPr>
          <w:rtl/>
        </w:rPr>
      </w:pPr>
      <w:r>
        <w:rPr>
          <w:rFonts w:hint="cs"/>
          <w:rtl/>
        </w:rPr>
        <w:t>יש פחות מסחר הפסדי, לכן זה מבטיח שלאורך השנים נרוויח יותר.</w:t>
      </w:r>
    </w:p>
    <w:p w:rsidR="00856323" w:rsidRDefault="00856323" w:rsidP="00E720B6">
      <w:pPr>
        <w:jc w:val="right"/>
        <w:rPr>
          <w:rtl/>
        </w:rPr>
      </w:pPr>
      <w:r>
        <w:rPr>
          <w:rFonts w:hint="cs"/>
          <w:rtl/>
        </w:rPr>
        <w:t>השאלה שיש עדיין פוזיציות עם הפסד גדול יותר מהערך שהפסדנו נשאלה בתור שאלת אתגר אחרי הרצאה 10, הסיבה שזה קורה היא שהגרף אינו רציף, כלומר המסחר לא נעשה באופן רציף, ולכן יכול לקרות מצב שבפתיחת המסחר ביום שלאחר שנסגר חלה ירידה משמעותית ולא היה אפשרי לעצור זאת.</w:t>
      </w:r>
      <w:r w:rsidR="00FC4D9E">
        <w:rPr>
          <w:rFonts w:hint="cs"/>
          <w:rtl/>
        </w:rPr>
        <w:t xml:space="preserve"> למרות זאת האסטרטגיה הראתה שיפור ביצועים.</w:t>
      </w:r>
    </w:p>
    <w:p w:rsidR="00FC4D9E" w:rsidRDefault="00B6492D" w:rsidP="00E720B6">
      <w:pPr>
        <w:jc w:val="right"/>
      </w:pPr>
      <w:proofErr w:type="gramStart"/>
      <w:r>
        <w:t>.</w:t>
      </w:r>
      <w:r w:rsidR="0040137F">
        <w:t>D</w:t>
      </w:r>
      <w:proofErr w:type="gramEnd"/>
    </w:p>
    <w:p w:rsidR="00B6492D" w:rsidRDefault="00B630A3" w:rsidP="00E720B6">
      <w:pPr>
        <w:jc w:val="right"/>
      </w:pPr>
      <w:proofErr w:type="gramStart"/>
      <w:r>
        <w:t>.a</w:t>
      </w:r>
      <w:proofErr w:type="gramEnd"/>
      <w:r w:rsidR="0065650A">
        <w:rPr>
          <w:rFonts w:hint="cs"/>
          <w:rtl/>
        </w:rPr>
        <w:t xml:space="preserve">7 </w:t>
      </w:r>
    </w:p>
    <w:p w:rsidR="00B630A3" w:rsidRDefault="00B630A3" w:rsidP="00B630A3">
      <w:pPr>
        <w:jc w:val="right"/>
        <w:rPr>
          <w:rtl/>
        </w:rPr>
      </w:pPr>
      <w:r>
        <w:t>TRAILSTOP2</w:t>
      </w:r>
      <w:r>
        <w:rPr>
          <w:rFonts w:hint="cs"/>
        </w:rPr>
        <w:t xml:space="preserve"> </w:t>
      </w:r>
      <w:r>
        <w:t>and TRAILSTOP2_THD</w:t>
      </w:r>
      <w:r>
        <w:rPr>
          <w:rFonts w:hint="cs"/>
          <w:rtl/>
        </w:rPr>
        <w:t xml:space="preserve">התבקשנו להריץ אופטימיזציה על ערכי </w:t>
      </w:r>
    </w:p>
    <w:p w:rsidR="00B630A3" w:rsidRDefault="00B630A3" w:rsidP="00B630A3">
      <w:pPr>
        <w:jc w:val="right"/>
        <w:rPr>
          <w:rtl/>
        </w:rPr>
      </w:pPr>
      <w:r>
        <w:rPr>
          <w:rFonts w:hint="cs"/>
        </w:rPr>
        <w:t xml:space="preserve"> </w:t>
      </w:r>
      <w:r>
        <w:rPr>
          <w:rFonts w:hint="cs"/>
          <w:rtl/>
        </w:rPr>
        <w:t xml:space="preserve"> 1-20 עם קפיצות של 1 </w:t>
      </w:r>
      <w:r>
        <w:rPr>
          <w:rFonts w:hint="cs"/>
        </w:rPr>
        <w:t>TRAILSTOP</w:t>
      </w:r>
      <w:r>
        <w:t>2</w:t>
      </w:r>
      <w:r>
        <w:rPr>
          <w:rFonts w:hint="cs"/>
          <w:rtl/>
        </w:rPr>
        <w:t xml:space="preserve">בחרנו עבור </w:t>
      </w:r>
    </w:p>
    <w:p w:rsidR="00B630A3" w:rsidRDefault="00B630A3" w:rsidP="00B630A3">
      <w:pPr>
        <w:jc w:val="right"/>
        <w:rPr>
          <w:rtl/>
        </w:rPr>
      </w:pPr>
      <w:r>
        <w:rPr>
          <w:rFonts w:hint="cs"/>
          <w:rtl/>
        </w:rPr>
        <w:t xml:space="preserve"> את 0-5 עם קפיצות של 0.05</w:t>
      </w:r>
      <w:r>
        <w:t>TRAILSTOP2_THD</w:t>
      </w:r>
      <w:r>
        <w:rPr>
          <w:rFonts w:hint="cs"/>
          <w:rtl/>
        </w:rPr>
        <w:t xml:space="preserve">ועבור </w:t>
      </w:r>
    </w:p>
    <w:p w:rsidR="00B630A3" w:rsidRDefault="00B630A3" w:rsidP="00B630A3">
      <w:pPr>
        <w:jc w:val="right"/>
        <w:rPr>
          <w:rtl/>
        </w:rPr>
      </w:pPr>
      <w:r>
        <w:rPr>
          <w:rFonts w:hint="cs"/>
          <w:rtl/>
        </w:rPr>
        <w:t>עבור הערך הראשון זה נבחר על מנת לשמור על טריידים עם ערכים גבוהים ועבור הערך השני על מנת לא להגביל את הרווח מהטריידים שהתבצעו.</w:t>
      </w:r>
    </w:p>
    <w:p w:rsidR="00B630A3" w:rsidRDefault="00B630A3" w:rsidP="00B630A3">
      <w:pPr>
        <w:jc w:val="right"/>
        <w:rPr>
          <w:rtl/>
        </w:rPr>
      </w:pPr>
      <w:r>
        <w:rPr>
          <w:rFonts w:hint="cs"/>
          <w:rtl/>
        </w:rPr>
        <w:t xml:space="preserve">הערכים האופטימליים שהתקבלו הם: </w:t>
      </w:r>
    </w:p>
    <w:p w:rsidR="00B630A3" w:rsidRDefault="00B630A3" w:rsidP="0089602C">
      <w:r>
        <w:t>TRAILSTOP2 = 1, TRAILSTOP2_THD = 4.45.</w:t>
      </w:r>
    </w:p>
    <w:p w:rsidR="0089602C" w:rsidRDefault="0089602C" w:rsidP="0089602C">
      <w:pPr>
        <w:jc w:val="right"/>
        <w:rPr>
          <w:rtl/>
        </w:rPr>
      </w:pPr>
      <w:r>
        <w:rPr>
          <w:rFonts w:hint="cs"/>
          <w:noProof/>
          <w:rtl/>
          <w:lang w:val="he-IL"/>
        </w:rPr>
        <w:drawing>
          <wp:anchor distT="0" distB="0" distL="114300" distR="114300" simplePos="0" relativeHeight="251674624" behindDoc="0" locked="0" layoutInCell="1" allowOverlap="1">
            <wp:simplePos x="0" y="0"/>
            <wp:positionH relativeFrom="margin">
              <wp:align>right</wp:align>
            </wp:positionH>
            <wp:positionV relativeFrom="paragraph">
              <wp:posOffset>356235</wp:posOffset>
            </wp:positionV>
            <wp:extent cx="5943600" cy="1129030"/>
            <wp:effectExtent l="0" t="0" r="0" b="0"/>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46).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129030"/>
                    </a:xfrm>
                    <a:prstGeom prst="rect">
                      <a:avLst/>
                    </a:prstGeom>
                  </pic:spPr>
                </pic:pic>
              </a:graphicData>
            </a:graphic>
          </wp:anchor>
        </w:drawing>
      </w:r>
      <w:r>
        <w:rPr>
          <w:rFonts w:hint="cs"/>
          <w:rtl/>
        </w:rPr>
        <w:t>נציג את הגרפים:</w:t>
      </w:r>
    </w:p>
    <w:p w:rsidR="0089602C" w:rsidRDefault="0089602C" w:rsidP="0089602C">
      <w:pPr>
        <w:jc w:val="right"/>
        <w:rPr>
          <w:rtl/>
        </w:rPr>
      </w:pPr>
      <w:r>
        <w:rPr>
          <w:noProof/>
          <w:rtl/>
          <w:lang w:val="he-IL"/>
        </w:rPr>
        <w:drawing>
          <wp:anchor distT="0" distB="0" distL="114300" distR="114300" simplePos="0" relativeHeight="251675648" behindDoc="0" locked="0" layoutInCell="1" allowOverlap="1" wp14:anchorId="2D4A1D6B">
            <wp:simplePos x="0" y="0"/>
            <wp:positionH relativeFrom="margin">
              <wp:align>center</wp:align>
            </wp:positionH>
            <wp:positionV relativeFrom="paragraph">
              <wp:posOffset>1284605</wp:posOffset>
            </wp:positionV>
            <wp:extent cx="4237355" cy="2863215"/>
            <wp:effectExtent l="0" t="0" r="0" b="0"/>
            <wp:wrapSquare wrapText="bothSides"/>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47).png"/>
                    <pic:cNvPicPr/>
                  </pic:nvPicPr>
                  <pic:blipFill>
                    <a:blip r:embed="rId24">
                      <a:extLst>
                        <a:ext uri="{28A0092B-C50C-407E-A947-70E740481C1C}">
                          <a14:useLocalDpi xmlns:a14="http://schemas.microsoft.com/office/drawing/2010/main" val="0"/>
                        </a:ext>
                      </a:extLst>
                    </a:blip>
                    <a:stretch>
                      <a:fillRect/>
                    </a:stretch>
                  </pic:blipFill>
                  <pic:spPr>
                    <a:xfrm>
                      <a:off x="0" y="0"/>
                      <a:ext cx="4237355" cy="2863215"/>
                    </a:xfrm>
                    <a:prstGeom prst="rect">
                      <a:avLst/>
                    </a:prstGeom>
                  </pic:spPr>
                </pic:pic>
              </a:graphicData>
            </a:graphic>
            <wp14:sizeRelH relativeFrom="margin">
              <wp14:pctWidth>0</wp14:pctWidth>
            </wp14:sizeRelH>
            <wp14:sizeRelV relativeFrom="margin">
              <wp14:pctHeight>0</wp14:pctHeight>
            </wp14:sizeRelV>
          </wp:anchor>
        </w:drawing>
      </w:r>
    </w:p>
    <w:p w:rsidR="0089602C" w:rsidRDefault="0089602C" w:rsidP="0089602C">
      <w:pPr>
        <w:jc w:val="right"/>
        <w:rPr>
          <w:rtl/>
        </w:rPr>
      </w:pPr>
    </w:p>
    <w:p w:rsidR="0089602C" w:rsidRDefault="0089602C" w:rsidP="0089602C">
      <w:pPr>
        <w:jc w:val="right"/>
        <w:rPr>
          <w:rtl/>
        </w:rPr>
      </w:pPr>
    </w:p>
    <w:p w:rsidR="0089602C" w:rsidRDefault="0089602C" w:rsidP="0089602C">
      <w:pPr>
        <w:jc w:val="right"/>
        <w:rPr>
          <w:rtl/>
        </w:rPr>
      </w:pPr>
    </w:p>
    <w:p w:rsidR="0089602C" w:rsidRDefault="0089602C" w:rsidP="0089602C">
      <w:pPr>
        <w:jc w:val="right"/>
        <w:rPr>
          <w:rtl/>
        </w:rPr>
      </w:pPr>
    </w:p>
    <w:p w:rsidR="0089602C" w:rsidRDefault="0089602C" w:rsidP="0089602C">
      <w:pPr>
        <w:jc w:val="right"/>
        <w:rPr>
          <w:rtl/>
        </w:rPr>
      </w:pPr>
    </w:p>
    <w:p w:rsidR="0089602C" w:rsidRDefault="0089602C" w:rsidP="0089602C">
      <w:pPr>
        <w:jc w:val="right"/>
        <w:rPr>
          <w:rtl/>
        </w:rPr>
      </w:pPr>
    </w:p>
    <w:p w:rsidR="0089602C" w:rsidRDefault="0089602C" w:rsidP="0089602C">
      <w:pPr>
        <w:jc w:val="right"/>
        <w:rPr>
          <w:rtl/>
        </w:rPr>
      </w:pPr>
    </w:p>
    <w:p w:rsidR="0089602C" w:rsidRDefault="0089602C" w:rsidP="0089602C">
      <w:pPr>
        <w:jc w:val="right"/>
        <w:rPr>
          <w:rtl/>
        </w:rPr>
      </w:pPr>
    </w:p>
    <w:p w:rsidR="0089602C" w:rsidRDefault="0089602C" w:rsidP="0089602C">
      <w:pPr>
        <w:jc w:val="right"/>
        <w:rPr>
          <w:rtl/>
        </w:rPr>
      </w:pPr>
    </w:p>
    <w:p w:rsidR="0089602C" w:rsidRDefault="0089602C" w:rsidP="0089602C">
      <w:pPr>
        <w:jc w:val="right"/>
        <w:rPr>
          <w:rtl/>
        </w:rPr>
      </w:pPr>
    </w:p>
    <w:tbl>
      <w:tblPr>
        <w:tblStyle w:val="a8"/>
        <w:tblpPr w:leftFromText="180" w:rightFromText="180" w:vertAnchor="page" w:horzAnchor="margin" w:tblpY="796"/>
        <w:tblW w:w="0" w:type="auto"/>
        <w:tblLook w:val="04A0" w:firstRow="1" w:lastRow="0" w:firstColumn="1" w:lastColumn="0" w:noHBand="0" w:noVBand="1"/>
      </w:tblPr>
      <w:tblGrid>
        <w:gridCol w:w="3116"/>
        <w:gridCol w:w="3117"/>
        <w:gridCol w:w="3117"/>
      </w:tblGrid>
      <w:tr w:rsidR="0089602C" w:rsidTr="0089602C">
        <w:tc>
          <w:tcPr>
            <w:tcW w:w="3116" w:type="dxa"/>
          </w:tcPr>
          <w:p w:rsidR="0089602C" w:rsidRDefault="0089602C" w:rsidP="0089602C"/>
        </w:tc>
        <w:tc>
          <w:tcPr>
            <w:tcW w:w="3117" w:type="dxa"/>
          </w:tcPr>
          <w:p w:rsidR="0089602C" w:rsidRPr="00582032" w:rsidRDefault="0089602C" w:rsidP="0089602C">
            <w:pPr>
              <w:jc w:val="center"/>
              <w:rPr>
                <w:b/>
                <w:bCs/>
                <w:sz w:val="28"/>
                <w:szCs w:val="28"/>
              </w:rPr>
            </w:pPr>
            <w:r>
              <w:rPr>
                <w:rFonts w:hint="cs"/>
                <w:b/>
                <w:bCs/>
                <w:sz w:val="28"/>
                <w:szCs w:val="28"/>
                <w:rtl/>
              </w:rPr>
              <w:t>לפני אופטימיזצי</w:t>
            </w:r>
            <w:r>
              <w:rPr>
                <w:rFonts w:hint="eastAsia"/>
                <w:b/>
                <w:bCs/>
                <w:sz w:val="28"/>
                <w:szCs w:val="28"/>
                <w:rtl/>
              </w:rPr>
              <w:t>ה</w:t>
            </w:r>
          </w:p>
        </w:tc>
        <w:tc>
          <w:tcPr>
            <w:tcW w:w="3117" w:type="dxa"/>
          </w:tcPr>
          <w:p w:rsidR="0089602C" w:rsidRDefault="0089602C" w:rsidP="0089602C">
            <w:pPr>
              <w:jc w:val="center"/>
            </w:pPr>
            <w:r>
              <w:rPr>
                <w:rFonts w:hint="cs"/>
                <w:b/>
                <w:bCs/>
                <w:sz w:val="28"/>
                <w:szCs w:val="28"/>
                <w:rtl/>
              </w:rPr>
              <w:t>אחרי אופטימיזציה</w:t>
            </w:r>
          </w:p>
        </w:tc>
      </w:tr>
      <w:tr w:rsidR="0089602C" w:rsidTr="0089602C">
        <w:tc>
          <w:tcPr>
            <w:tcW w:w="3116" w:type="dxa"/>
          </w:tcPr>
          <w:p w:rsidR="0089602C" w:rsidRDefault="0089602C" w:rsidP="0089602C">
            <w:r>
              <w:t>Total net profit</w:t>
            </w:r>
          </w:p>
        </w:tc>
        <w:tc>
          <w:tcPr>
            <w:tcW w:w="3117" w:type="dxa"/>
          </w:tcPr>
          <w:p w:rsidR="0089602C" w:rsidRDefault="0089602C" w:rsidP="0089602C">
            <w:pPr>
              <w:jc w:val="center"/>
            </w:pPr>
            <w:r>
              <w:t>$111,150.00</w:t>
            </w:r>
          </w:p>
        </w:tc>
        <w:tc>
          <w:tcPr>
            <w:tcW w:w="3117" w:type="dxa"/>
          </w:tcPr>
          <w:p w:rsidR="0089602C" w:rsidRDefault="0089602C" w:rsidP="0089602C">
            <w:pPr>
              <w:jc w:val="center"/>
            </w:pPr>
            <w:r>
              <w:t>$129,860.00</w:t>
            </w:r>
          </w:p>
        </w:tc>
      </w:tr>
      <w:tr w:rsidR="0089602C" w:rsidTr="0089602C">
        <w:tc>
          <w:tcPr>
            <w:tcW w:w="3116" w:type="dxa"/>
          </w:tcPr>
          <w:p w:rsidR="0089602C" w:rsidRDefault="0089602C" w:rsidP="0089602C">
            <w:r>
              <w:t>Profit factor</w:t>
            </w:r>
          </w:p>
        </w:tc>
        <w:tc>
          <w:tcPr>
            <w:tcW w:w="3117" w:type="dxa"/>
          </w:tcPr>
          <w:p w:rsidR="0089602C" w:rsidRDefault="0089602C" w:rsidP="0089602C">
            <w:pPr>
              <w:jc w:val="center"/>
            </w:pPr>
            <w:r>
              <w:t>1.99</w:t>
            </w:r>
          </w:p>
        </w:tc>
        <w:tc>
          <w:tcPr>
            <w:tcW w:w="3117" w:type="dxa"/>
          </w:tcPr>
          <w:p w:rsidR="0089602C" w:rsidRDefault="0089602C" w:rsidP="0089602C">
            <w:pPr>
              <w:jc w:val="center"/>
            </w:pPr>
            <w:r>
              <w:t>2.06</w:t>
            </w:r>
          </w:p>
        </w:tc>
      </w:tr>
      <w:tr w:rsidR="0089602C" w:rsidTr="0089602C">
        <w:tc>
          <w:tcPr>
            <w:tcW w:w="3116" w:type="dxa"/>
          </w:tcPr>
          <w:p w:rsidR="0089602C" w:rsidRDefault="0089602C" w:rsidP="0089602C">
            <w:r>
              <w:t>Total number of trades</w:t>
            </w:r>
          </w:p>
        </w:tc>
        <w:tc>
          <w:tcPr>
            <w:tcW w:w="3117" w:type="dxa"/>
          </w:tcPr>
          <w:p w:rsidR="0089602C" w:rsidRDefault="0089602C" w:rsidP="0089602C">
            <w:pPr>
              <w:jc w:val="center"/>
            </w:pPr>
            <w:r>
              <w:t>83</w:t>
            </w:r>
          </w:p>
        </w:tc>
        <w:tc>
          <w:tcPr>
            <w:tcW w:w="3117" w:type="dxa"/>
          </w:tcPr>
          <w:p w:rsidR="0089602C" w:rsidRDefault="0089602C" w:rsidP="0089602C">
            <w:pPr>
              <w:jc w:val="center"/>
            </w:pPr>
            <w:r>
              <w:t>106</w:t>
            </w:r>
          </w:p>
        </w:tc>
      </w:tr>
      <w:tr w:rsidR="0089602C" w:rsidTr="0089602C">
        <w:tc>
          <w:tcPr>
            <w:tcW w:w="3116" w:type="dxa"/>
          </w:tcPr>
          <w:p w:rsidR="0089602C" w:rsidRDefault="0089602C" w:rsidP="0089602C">
            <w:r>
              <w:t>Total long trades</w:t>
            </w:r>
          </w:p>
        </w:tc>
        <w:tc>
          <w:tcPr>
            <w:tcW w:w="3117" w:type="dxa"/>
          </w:tcPr>
          <w:p w:rsidR="0089602C" w:rsidRDefault="0089602C" w:rsidP="0089602C">
            <w:pPr>
              <w:jc w:val="center"/>
            </w:pPr>
            <w:r>
              <w:t>60</w:t>
            </w:r>
          </w:p>
        </w:tc>
        <w:tc>
          <w:tcPr>
            <w:tcW w:w="3117" w:type="dxa"/>
          </w:tcPr>
          <w:p w:rsidR="0089602C" w:rsidRDefault="0089602C" w:rsidP="0089602C">
            <w:pPr>
              <w:jc w:val="center"/>
            </w:pPr>
            <w:r>
              <w:t>76</w:t>
            </w:r>
          </w:p>
        </w:tc>
      </w:tr>
      <w:tr w:rsidR="0089602C" w:rsidTr="0089602C">
        <w:tc>
          <w:tcPr>
            <w:tcW w:w="3116" w:type="dxa"/>
          </w:tcPr>
          <w:p w:rsidR="0089602C" w:rsidRDefault="0089602C" w:rsidP="0089602C">
            <w:r>
              <w:t>Total short trades</w:t>
            </w:r>
          </w:p>
        </w:tc>
        <w:tc>
          <w:tcPr>
            <w:tcW w:w="3117" w:type="dxa"/>
          </w:tcPr>
          <w:p w:rsidR="0089602C" w:rsidRDefault="0089602C" w:rsidP="0089602C">
            <w:pPr>
              <w:jc w:val="center"/>
            </w:pPr>
            <w:r>
              <w:t>23</w:t>
            </w:r>
          </w:p>
        </w:tc>
        <w:tc>
          <w:tcPr>
            <w:tcW w:w="3117" w:type="dxa"/>
          </w:tcPr>
          <w:p w:rsidR="0089602C" w:rsidRDefault="0089602C" w:rsidP="0089602C">
            <w:pPr>
              <w:jc w:val="center"/>
            </w:pPr>
            <w:r>
              <w:t>30</w:t>
            </w:r>
          </w:p>
        </w:tc>
      </w:tr>
      <w:tr w:rsidR="0089602C" w:rsidTr="0089602C">
        <w:tc>
          <w:tcPr>
            <w:tcW w:w="3116" w:type="dxa"/>
          </w:tcPr>
          <w:p w:rsidR="0089602C" w:rsidRDefault="0089602C" w:rsidP="0089602C">
            <w:r>
              <w:t>Percent profitable</w:t>
            </w:r>
          </w:p>
        </w:tc>
        <w:tc>
          <w:tcPr>
            <w:tcW w:w="3117" w:type="dxa"/>
          </w:tcPr>
          <w:p w:rsidR="0089602C" w:rsidRDefault="0089602C" w:rsidP="0089602C">
            <w:pPr>
              <w:jc w:val="center"/>
            </w:pPr>
            <w:r>
              <w:t>61.45%</w:t>
            </w:r>
          </w:p>
        </w:tc>
        <w:tc>
          <w:tcPr>
            <w:tcW w:w="3117" w:type="dxa"/>
          </w:tcPr>
          <w:p w:rsidR="0089602C" w:rsidRDefault="0089602C" w:rsidP="0089602C">
            <w:pPr>
              <w:jc w:val="center"/>
            </w:pPr>
            <w:r>
              <w:t>67.92%</w:t>
            </w:r>
          </w:p>
        </w:tc>
      </w:tr>
      <w:tr w:rsidR="0089602C" w:rsidTr="0089602C">
        <w:tc>
          <w:tcPr>
            <w:tcW w:w="3116" w:type="dxa"/>
          </w:tcPr>
          <w:p w:rsidR="0089602C" w:rsidRDefault="0089602C" w:rsidP="0089602C">
            <w:r>
              <w:t>Winning trades</w:t>
            </w:r>
          </w:p>
        </w:tc>
        <w:tc>
          <w:tcPr>
            <w:tcW w:w="3117" w:type="dxa"/>
          </w:tcPr>
          <w:p w:rsidR="0089602C" w:rsidRDefault="0089602C" w:rsidP="0089602C">
            <w:pPr>
              <w:jc w:val="center"/>
            </w:pPr>
            <w:r>
              <w:t>51</w:t>
            </w:r>
          </w:p>
        </w:tc>
        <w:tc>
          <w:tcPr>
            <w:tcW w:w="3117" w:type="dxa"/>
          </w:tcPr>
          <w:p w:rsidR="0089602C" w:rsidRDefault="0089602C" w:rsidP="0089602C">
            <w:pPr>
              <w:jc w:val="center"/>
            </w:pPr>
            <w:r>
              <w:t>72</w:t>
            </w:r>
          </w:p>
        </w:tc>
      </w:tr>
      <w:tr w:rsidR="0089602C" w:rsidTr="0089602C">
        <w:tc>
          <w:tcPr>
            <w:tcW w:w="3116" w:type="dxa"/>
          </w:tcPr>
          <w:p w:rsidR="0089602C" w:rsidRDefault="0089602C" w:rsidP="0089602C">
            <w:r>
              <w:t>Return on initial capital</w:t>
            </w:r>
          </w:p>
        </w:tc>
        <w:tc>
          <w:tcPr>
            <w:tcW w:w="3117" w:type="dxa"/>
          </w:tcPr>
          <w:p w:rsidR="0089602C" w:rsidRDefault="0089602C" w:rsidP="0089602C">
            <w:pPr>
              <w:jc w:val="center"/>
            </w:pPr>
            <w:r>
              <w:t>111.15%</w:t>
            </w:r>
          </w:p>
        </w:tc>
        <w:tc>
          <w:tcPr>
            <w:tcW w:w="3117" w:type="dxa"/>
          </w:tcPr>
          <w:p w:rsidR="0089602C" w:rsidRDefault="0089602C" w:rsidP="0089602C">
            <w:pPr>
              <w:jc w:val="center"/>
            </w:pPr>
            <w:r>
              <w:t>129.86%</w:t>
            </w:r>
          </w:p>
        </w:tc>
      </w:tr>
      <w:tr w:rsidR="0089602C" w:rsidTr="0089602C">
        <w:tc>
          <w:tcPr>
            <w:tcW w:w="3116" w:type="dxa"/>
          </w:tcPr>
          <w:p w:rsidR="0089602C" w:rsidRDefault="0089602C" w:rsidP="0089602C">
            <w:r>
              <w:t>Return retracement ratio</w:t>
            </w:r>
          </w:p>
        </w:tc>
        <w:tc>
          <w:tcPr>
            <w:tcW w:w="3117" w:type="dxa"/>
          </w:tcPr>
          <w:p w:rsidR="0089602C" w:rsidRDefault="0089602C" w:rsidP="0089602C">
            <w:pPr>
              <w:jc w:val="center"/>
            </w:pPr>
            <w:r>
              <w:t>0.83</w:t>
            </w:r>
          </w:p>
        </w:tc>
        <w:tc>
          <w:tcPr>
            <w:tcW w:w="3117" w:type="dxa"/>
          </w:tcPr>
          <w:p w:rsidR="0089602C" w:rsidRDefault="0089602C" w:rsidP="0089602C">
            <w:pPr>
              <w:jc w:val="center"/>
            </w:pPr>
            <w:r>
              <w:t>1.57</w:t>
            </w:r>
          </w:p>
        </w:tc>
      </w:tr>
      <w:tr w:rsidR="0089602C" w:rsidTr="0089602C">
        <w:tc>
          <w:tcPr>
            <w:tcW w:w="3116" w:type="dxa"/>
          </w:tcPr>
          <w:p w:rsidR="0089602C" w:rsidRDefault="0089602C" w:rsidP="0089602C">
            <w:r>
              <w:t>Max drawdown</w:t>
            </w:r>
          </w:p>
        </w:tc>
        <w:tc>
          <w:tcPr>
            <w:tcW w:w="3117" w:type="dxa"/>
          </w:tcPr>
          <w:p w:rsidR="0089602C" w:rsidRDefault="0089602C" w:rsidP="0089602C">
            <w:pPr>
              <w:jc w:val="center"/>
            </w:pPr>
            <w:r>
              <w:t>25,890</w:t>
            </w:r>
          </w:p>
        </w:tc>
        <w:tc>
          <w:tcPr>
            <w:tcW w:w="3117" w:type="dxa"/>
          </w:tcPr>
          <w:p w:rsidR="0089602C" w:rsidRDefault="0089602C" w:rsidP="0089602C">
            <w:pPr>
              <w:jc w:val="center"/>
            </w:pPr>
            <w:r>
              <w:t>28,400</w:t>
            </w:r>
          </w:p>
        </w:tc>
      </w:tr>
      <w:tr w:rsidR="0089602C" w:rsidTr="0089602C">
        <w:tc>
          <w:tcPr>
            <w:tcW w:w="3116" w:type="dxa"/>
          </w:tcPr>
          <w:p w:rsidR="0089602C" w:rsidRDefault="0089602C" w:rsidP="0089602C">
            <w:r>
              <w:t>Net profit as % of drawdown</w:t>
            </w:r>
          </w:p>
        </w:tc>
        <w:tc>
          <w:tcPr>
            <w:tcW w:w="3117" w:type="dxa"/>
          </w:tcPr>
          <w:p w:rsidR="0089602C" w:rsidRDefault="0089602C" w:rsidP="0089602C">
            <w:pPr>
              <w:jc w:val="center"/>
            </w:pPr>
            <w:r>
              <w:t>429.32%</w:t>
            </w:r>
          </w:p>
        </w:tc>
        <w:tc>
          <w:tcPr>
            <w:tcW w:w="3117" w:type="dxa"/>
          </w:tcPr>
          <w:p w:rsidR="0089602C" w:rsidRDefault="0089602C" w:rsidP="0089602C">
            <w:pPr>
              <w:jc w:val="center"/>
            </w:pPr>
            <w:r>
              <w:t>457.25%</w:t>
            </w:r>
          </w:p>
        </w:tc>
      </w:tr>
      <w:tr w:rsidR="0089602C" w:rsidTr="0089602C">
        <w:tc>
          <w:tcPr>
            <w:tcW w:w="3116" w:type="dxa"/>
          </w:tcPr>
          <w:p w:rsidR="0089602C" w:rsidRDefault="0089602C" w:rsidP="0089602C">
            <w:r>
              <w:t>Max shares/contracts held</w:t>
            </w:r>
          </w:p>
        </w:tc>
        <w:tc>
          <w:tcPr>
            <w:tcW w:w="3117" w:type="dxa"/>
          </w:tcPr>
          <w:p w:rsidR="0089602C" w:rsidRDefault="0089602C" w:rsidP="0089602C">
            <w:pPr>
              <w:jc w:val="center"/>
            </w:pPr>
            <w:r>
              <w:t>1000</w:t>
            </w:r>
          </w:p>
        </w:tc>
        <w:tc>
          <w:tcPr>
            <w:tcW w:w="3117" w:type="dxa"/>
          </w:tcPr>
          <w:p w:rsidR="0089602C" w:rsidRDefault="0089602C" w:rsidP="0089602C">
            <w:pPr>
              <w:jc w:val="center"/>
            </w:pPr>
            <w:r>
              <w:t>1000</w:t>
            </w:r>
          </w:p>
        </w:tc>
      </w:tr>
      <w:tr w:rsidR="0089602C" w:rsidTr="0089602C">
        <w:tc>
          <w:tcPr>
            <w:tcW w:w="3116" w:type="dxa"/>
          </w:tcPr>
          <w:p w:rsidR="0089602C" w:rsidRDefault="0089602C" w:rsidP="0089602C">
            <w:r>
              <w:t>Max drawdown as % of initial capital</w:t>
            </w:r>
          </w:p>
        </w:tc>
        <w:tc>
          <w:tcPr>
            <w:tcW w:w="3117" w:type="dxa"/>
          </w:tcPr>
          <w:p w:rsidR="0089602C" w:rsidRDefault="0089602C" w:rsidP="0089602C">
            <w:pPr>
              <w:jc w:val="center"/>
            </w:pPr>
            <w:r>
              <w:t>23.10%</w:t>
            </w:r>
          </w:p>
        </w:tc>
        <w:tc>
          <w:tcPr>
            <w:tcW w:w="3117" w:type="dxa"/>
          </w:tcPr>
          <w:p w:rsidR="0089602C" w:rsidRDefault="0089602C" w:rsidP="0089602C">
            <w:pPr>
              <w:jc w:val="center"/>
            </w:pPr>
            <w:r>
              <w:t>28.40%</w:t>
            </w:r>
          </w:p>
        </w:tc>
      </w:tr>
    </w:tbl>
    <w:p w:rsidR="0089602C" w:rsidRDefault="0089602C" w:rsidP="0089602C">
      <w:pPr>
        <w:jc w:val="right"/>
        <w:rPr>
          <w:rtl/>
        </w:rPr>
      </w:pPr>
    </w:p>
    <w:p w:rsidR="0089602C" w:rsidRDefault="0089602C" w:rsidP="0089602C">
      <w:pPr>
        <w:jc w:val="right"/>
        <w:rPr>
          <w:rtl/>
        </w:rPr>
      </w:pPr>
      <w:r>
        <w:rPr>
          <w:rFonts w:hint="cs"/>
          <w:rtl/>
        </w:rPr>
        <w:t xml:space="preserve">, כמו כן יש עלייה  במספר </w:t>
      </w:r>
      <w:r>
        <w:t xml:space="preserve">Profit factor </w:t>
      </w:r>
      <w:r>
        <w:rPr>
          <w:rFonts w:hint="cs"/>
          <w:rtl/>
        </w:rPr>
        <w:t>כפי שניתן לראות יש עלייה משמעותית הרווח הסופי ועלייה קטנה ב</w:t>
      </w:r>
      <w:r>
        <w:t xml:space="preserve"> </w:t>
      </w:r>
    </w:p>
    <w:p w:rsidR="0089602C" w:rsidRDefault="0089602C" w:rsidP="0089602C">
      <w:pPr>
        <w:jc w:val="right"/>
        <w:rPr>
          <w:rtl/>
        </w:rPr>
      </w:pPr>
      <w:r>
        <w:rPr>
          <w:rFonts w:hint="cs"/>
          <w:rtl/>
        </w:rPr>
        <w:t>הטריידים שבוצעו ואף עלייה ביחס הטריידים שניצחנו בהם בעצם הפרמטרים השתפרו כמעט בכל מדד שבחנו , שהוא עלה אבל זה זניח בהשוואה לרווח שקיבלנו 18,710$.</w:t>
      </w:r>
      <w:r>
        <w:t>Max drawdown</w:t>
      </w:r>
      <w:r>
        <w:rPr>
          <w:rFonts w:hint="cs"/>
          <w:rtl/>
        </w:rPr>
        <w:t xml:space="preserve">חוץ מהממד של </w:t>
      </w:r>
    </w:p>
    <w:p w:rsidR="0065650A" w:rsidRDefault="0065650A" w:rsidP="0065650A">
      <w:pPr>
        <w:jc w:val="right"/>
        <w:rPr>
          <w:rtl/>
        </w:rPr>
      </w:pPr>
      <w:r>
        <w:rPr>
          <w:rFonts w:hint="cs"/>
          <w:rtl/>
        </w:rPr>
        <w:t>8.</w:t>
      </w:r>
    </w:p>
    <w:p w:rsidR="0093278F" w:rsidRDefault="0093278F" w:rsidP="0065650A">
      <w:pPr>
        <w:jc w:val="right"/>
        <w:rPr>
          <w:rFonts w:hint="cs"/>
        </w:rPr>
      </w:pPr>
      <w:r>
        <w:rPr>
          <w:rFonts w:hint="cs"/>
          <w:rtl/>
        </w:rPr>
        <w:t>, במקום המנגנון של הסעיף הקודם, קיבלנו ערך אופטימלי 19.</w:t>
      </w:r>
      <w:r>
        <w:t>Profit Target</w:t>
      </w:r>
      <w:r>
        <w:rPr>
          <w:rFonts w:hint="cs"/>
          <w:rtl/>
        </w:rPr>
        <w:t xml:space="preserve">התבקשנו להכניס את מנגנון ה </w:t>
      </w:r>
    </w:p>
    <w:p w:rsidR="0065650A" w:rsidRDefault="0093278F" w:rsidP="0065650A">
      <w:pPr>
        <w:jc w:val="right"/>
        <w:rPr>
          <w:rtl/>
        </w:rPr>
      </w:pPr>
      <w:r>
        <w:rPr>
          <w:noProof/>
        </w:rPr>
        <w:drawing>
          <wp:anchor distT="0" distB="0" distL="114300" distR="114300" simplePos="0" relativeHeight="251676672" behindDoc="0" locked="0" layoutInCell="1" allowOverlap="1">
            <wp:simplePos x="0" y="0"/>
            <wp:positionH relativeFrom="margin">
              <wp:align>right</wp:align>
            </wp:positionH>
            <wp:positionV relativeFrom="paragraph">
              <wp:posOffset>371475</wp:posOffset>
            </wp:positionV>
            <wp:extent cx="5943600" cy="1030605"/>
            <wp:effectExtent l="0" t="0" r="0" b="0"/>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48).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030605"/>
                    </a:xfrm>
                    <a:prstGeom prst="rect">
                      <a:avLst/>
                    </a:prstGeom>
                  </pic:spPr>
                </pic:pic>
              </a:graphicData>
            </a:graphic>
          </wp:anchor>
        </w:drawing>
      </w:r>
      <w:r>
        <w:rPr>
          <w:rFonts w:hint="cs"/>
          <w:rtl/>
        </w:rPr>
        <w:t>, אבל ירדו משמעותית מהסעיף הקודם, להלן התוצאות:</w:t>
      </w:r>
      <w:r>
        <w:t>C</w:t>
      </w:r>
      <w:r>
        <w:rPr>
          <w:rFonts w:hint="cs"/>
          <w:rtl/>
        </w:rPr>
        <w:t xml:space="preserve">הרווחים אמנם עלו במעט בהשוואה לסעיף </w:t>
      </w:r>
    </w:p>
    <w:p w:rsidR="0093278F" w:rsidRDefault="0093278F" w:rsidP="0065650A">
      <w:pPr>
        <w:jc w:val="right"/>
        <w:rPr>
          <w:rtl/>
        </w:rPr>
      </w:pPr>
    </w:p>
    <w:p w:rsidR="0093278F" w:rsidRDefault="0093278F" w:rsidP="0065650A">
      <w:pPr>
        <w:jc w:val="right"/>
        <w:rPr>
          <w:rtl/>
        </w:rPr>
      </w:pPr>
      <w:r>
        <w:rPr>
          <w:rFonts w:hint="cs"/>
          <w:noProof/>
          <w:rtl/>
          <w:lang w:val="he-IL"/>
        </w:rPr>
        <w:drawing>
          <wp:anchor distT="0" distB="0" distL="114300" distR="114300" simplePos="0" relativeHeight="251680768" behindDoc="0" locked="0" layoutInCell="1" allowOverlap="1" wp14:anchorId="3BDC8785" wp14:editId="1647D03C">
            <wp:simplePos x="0" y="0"/>
            <wp:positionH relativeFrom="margin">
              <wp:align>right</wp:align>
            </wp:positionH>
            <wp:positionV relativeFrom="paragraph">
              <wp:posOffset>190500</wp:posOffset>
            </wp:positionV>
            <wp:extent cx="5943600" cy="1061720"/>
            <wp:effectExtent l="0" t="0" r="0" b="5080"/>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oplos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061720"/>
                    </a:xfrm>
                    <a:prstGeom prst="rect">
                      <a:avLst/>
                    </a:prstGeom>
                  </pic:spPr>
                </pic:pic>
              </a:graphicData>
            </a:graphic>
          </wp:anchor>
        </w:drawing>
      </w:r>
      <w:r>
        <w:rPr>
          <w:rFonts w:hint="cs"/>
          <w:rtl/>
        </w:rPr>
        <w:t>:</w:t>
      </w:r>
      <w:r>
        <w:rPr>
          <w:rFonts w:hint="cs"/>
        </w:rPr>
        <w:t>C</w:t>
      </w:r>
      <w:r>
        <w:rPr>
          <w:rFonts w:hint="cs"/>
          <w:rtl/>
        </w:rPr>
        <w:t xml:space="preserve">סעיף </w:t>
      </w:r>
    </w:p>
    <w:p w:rsidR="0093278F" w:rsidRDefault="0093278F" w:rsidP="0093278F">
      <w:pPr>
        <w:jc w:val="right"/>
        <w:rPr>
          <w:rtl/>
        </w:rPr>
      </w:pPr>
    </w:p>
    <w:p w:rsidR="0093278F" w:rsidRDefault="0093278F" w:rsidP="0093278F">
      <w:pPr>
        <w:jc w:val="right"/>
        <w:rPr>
          <w:rtl/>
        </w:rPr>
      </w:pPr>
    </w:p>
    <w:p w:rsidR="0093278F" w:rsidRDefault="0093278F" w:rsidP="0093278F">
      <w:pPr>
        <w:jc w:val="right"/>
        <w:rPr>
          <w:rtl/>
        </w:rPr>
      </w:pPr>
    </w:p>
    <w:p w:rsidR="0093278F" w:rsidRDefault="0093278F" w:rsidP="0093278F">
      <w:pPr>
        <w:jc w:val="right"/>
        <w:rPr>
          <w:rtl/>
        </w:rPr>
      </w:pPr>
    </w:p>
    <w:p w:rsidR="0093278F" w:rsidRDefault="0093278F" w:rsidP="0093278F">
      <w:pPr>
        <w:jc w:val="right"/>
        <w:rPr>
          <w:rtl/>
        </w:rPr>
      </w:pPr>
    </w:p>
    <w:p w:rsidR="0093278F" w:rsidRDefault="0005649C" w:rsidP="0093278F">
      <w:pPr>
        <w:jc w:val="right"/>
        <w:rPr>
          <w:rtl/>
        </w:rPr>
      </w:pPr>
      <w:r>
        <w:rPr>
          <w:rFonts w:hint="cs"/>
          <w:rtl/>
        </w:rPr>
        <w:lastRenderedPageBreak/>
        <w:t>הקודם:</w:t>
      </w:r>
      <w:r w:rsidR="0093278F">
        <w:t xml:space="preserve"> </w:t>
      </w:r>
      <w:r w:rsidR="0093278F">
        <w:rPr>
          <w:rFonts w:hint="cs"/>
          <w:rtl/>
        </w:rPr>
        <w:t xml:space="preserve">נראה את הגרף של </w:t>
      </w:r>
      <w:r>
        <w:rPr>
          <w:rFonts w:hint="cs"/>
          <w:rtl/>
        </w:rPr>
        <w:t>ה</w:t>
      </w:r>
      <w:r w:rsidR="0093278F">
        <w:rPr>
          <w:rFonts w:hint="cs"/>
          <w:rtl/>
        </w:rPr>
        <w:t>סעיף</w:t>
      </w:r>
    </w:p>
    <w:p w:rsidR="0093278F" w:rsidRDefault="0005649C" w:rsidP="0065650A">
      <w:pPr>
        <w:jc w:val="right"/>
        <w:rPr>
          <w:rtl/>
        </w:rPr>
      </w:pPr>
      <w:r>
        <w:rPr>
          <w:noProof/>
          <w:rtl/>
          <w:lang w:val="he-IL"/>
        </w:rPr>
        <w:drawing>
          <wp:anchor distT="0" distB="0" distL="114300" distR="114300" simplePos="0" relativeHeight="251681792" behindDoc="0" locked="0" layoutInCell="1" allowOverlap="1">
            <wp:simplePos x="0" y="0"/>
            <wp:positionH relativeFrom="margin">
              <wp:align>center</wp:align>
            </wp:positionH>
            <wp:positionV relativeFrom="paragraph">
              <wp:posOffset>83185</wp:posOffset>
            </wp:positionV>
            <wp:extent cx="4066540" cy="2778760"/>
            <wp:effectExtent l="0" t="0" r="0" b="2540"/>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iling.png"/>
                    <pic:cNvPicPr/>
                  </pic:nvPicPr>
                  <pic:blipFill>
                    <a:blip r:embed="rId26">
                      <a:extLst>
                        <a:ext uri="{28A0092B-C50C-407E-A947-70E740481C1C}">
                          <a14:useLocalDpi xmlns:a14="http://schemas.microsoft.com/office/drawing/2010/main" val="0"/>
                        </a:ext>
                      </a:extLst>
                    </a:blip>
                    <a:stretch>
                      <a:fillRect/>
                    </a:stretch>
                  </pic:blipFill>
                  <pic:spPr>
                    <a:xfrm>
                      <a:off x="0" y="0"/>
                      <a:ext cx="4066540" cy="2778760"/>
                    </a:xfrm>
                    <a:prstGeom prst="rect">
                      <a:avLst/>
                    </a:prstGeom>
                  </pic:spPr>
                </pic:pic>
              </a:graphicData>
            </a:graphic>
            <wp14:sizeRelH relativeFrom="margin">
              <wp14:pctWidth>0</wp14:pctWidth>
            </wp14:sizeRelH>
            <wp14:sizeRelV relativeFrom="margin">
              <wp14:pctHeight>0</wp14:pctHeight>
            </wp14:sizeRelV>
          </wp:anchor>
        </w:drawing>
      </w: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r>
        <w:rPr>
          <w:rFonts w:hint="cs"/>
          <w:rtl/>
        </w:rPr>
        <w:t>ואת של הסעיף הזה:</w:t>
      </w:r>
    </w:p>
    <w:p w:rsidR="0093278F" w:rsidRDefault="0093278F" w:rsidP="0065650A">
      <w:pPr>
        <w:jc w:val="right"/>
        <w:rPr>
          <w:rtl/>
        </w:rPr>
      </w:pPr>
      <w:r>
        <w:rPr>
          <w:noProof/>
          <w:rtl/>
          <w:lang w:val="he-IL"/>
        </w:rPr>
        <w:drawing>
          <wp:anchor distT="0" distB="0" distL="114300" distR="114300" simplePos="0" relativeHeight="251678720" behindDoc="0" locked="0" layoutInCell="1" allowOverlap="1">
            <wp:simplePos x="0" y="0"/>
            <wp:positionH relativeFrom="margin">
              <wp:align>center</wp:align>
            </wp:positionH>
            <wp:positionV relativeFrom="paragraph">
              <wp:posOffset>6985</wp:posOffset>
            </wp:positionV>
            <wp:extent cx="4384675" cy="3029585"/>
            <wp:effectExtent l="0" t="0" r="0" b="0"/>
            <wp:wrapSquare wrapText="bothSides"/>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fitTarget.png"/>
                    <pic:cNvPicPr/>
                  </pic:nvPicPr>
                  <pic:blipFill>
                    <a:blip r:embed="rId27">
                      <a:extLst>
                        <a:ext uri="{28A0092B-C50C-407E-A947-70E740481C1C}">
                          <a14:useLocalDpi xmlns:a14="http://schemas.microsoft.com/office/drawing/2010/main" val="0"/>
                        </a:ext>
                      </a:extLst>
                    </a:blip>
                    <a:stretch>
                      <a:fillRect/>
                    </a:stretch>
                  </pic:blipFill>
                  <pic:spPr>
                    <a:xfrm>
                      <a:off x="0" y="0"/>
                      <a:ext cx="4384675" cy="3029585"/>
                    </a:xfrm>
                    <a:prstGeom prst="rect">
                      <a:avLst/>
                    </a:prstGeom>
                  </pic:spPr>
                </pic:pic>
              </a:graphicData>
            </a:graphic>
            <wp14:sizeRelH relativeFrom="margin">
              <wp14:pctWidth>0</wp14:pctWidth>
            </wp14:sizeRelH>
            <wp14:sizeRelV relativeFrom="margin">
              <wp14:pctHeight>0</wp14:pctHeight>
            </wp14:sizeRelV>
          </wp:anchor>
        </w:drawing>
      </w: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05649C" w:rsidP="0065650A">
      <w:pPr>
        <w:jc w:val="right"/>
        <w:rPr>
          <w:rtl/>
        </w:rPr>
      </w:pPr>
      <w:r>
        <w:rPr>
          <w:rFonts w:hint="cs"/>
          <w:rtl/>
        </w:rPr>
        <w:t xml:space="preserve">כפי שניתן לראות מהגרפים בסעיף הקודם עשינו הרבה יותר טריידים וגם הטריידים האלו נשארו יותר זמן במערכת, כלומר היו טריידים שהרווחנו עליהם יותר 19% אבל בגלל מטרת הרווח שלנו בסעיף הזה יצאנו ישר כשהגענו לאחוז הרווח שרצינו. </w:t>
      </w:r>
    </w:p>
    <w:p w:rsidR="0005649C" w:rsidRDefault="0005649C" w:rsidP="0005649C">
      <w:pPr>
        <w:jc w:val="right"/>
        <w:rPr>
          <w:rtl/>
        </w:rPr>
      </w:pPr>
      <w:r>
        <w:rPr>
          <w:rFonts w:hint="cs"/>
          <w:rtl/>
        </w:rPr>
        <w:lastRenderedPageBreak/>
        <w:t>לא ניתן להסיק לגבי יעילות המנגנון הזה מהגרפים כי אמנם במקרה זה היו טריידים שעברו את סף הרווח שהגדרנו, אבל יכול להיות מצבים שבהם אחרי ההגעה ליעד תהיה ירידה משמעותית ושם המנגנון הזה יבוא לידי ביטוי יותר טוב.</w:t>
      </w:r>
    </w:p>
    <w:p w:rsidR="0005649C" w:rsidRDefault="0005649C" w:rsidP="0005649C">
      <w:pPr>
        <w:jc w:val="right"/>
        <w:rPr>
          <w:rtl/>
        </w:rPr>
      </w:pPr>
    </w:p>
    <w:p w:rsidR="0005649C" w:rsidRDefault="0005649C" w:rsidP="0005649C">
      <w:pPr>
        <w:jc w:val="right"/>
        <w:rPr>
          <w:rtl/>
        </w:rPr>
      </w:pPr>
      <w:r>
        <w:rPr>
          <w:rFonts w:hint="cs"/>
          <w:rtl/>
        </w:rPr>
        <w:t>.</w:t>
      </w:r>
      <w:r>
        <w:rPr>
          <w:rFonts w:hint="cs"/>
        </w:rPr>
        <w:t>E</w:t>
      </w:r>
    </w:p>
    <w:p w:rsidR="0005649C" w:rsidRDefault="0005649C" w:rsidP="0065650A">
      <w:pPr>
        <w:jc w:val="right"/>
        <w:rPr>
          <w:rFonts w:hint="cs"/>
          <w:rtl/>
        </w:rPr>
      </w:pPr>
      <w:bookmarkStart w:id="0" w:name="_GoBack"/>
      <w:bookmarkEnd w:id="0"/>
    </w:p>
    <w:sectPr w:rsidR="0005649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4F78" w:rsidRDefault="00514F78" w:rsidP="0068299A">
      <w:pPr>
        <w:spacing w:after="0" w:line="240" w:lineRule="auto"/>
      </w:pPr>
      <w:r>
        <w:separator/>
      </w:r>
    </w:p>
  </w:endnote>
  <w:endnote w:type="continuationSeparator" w:id="0">
    <w:p w:rsidR="00514F78" w:rsidRDefault="00514F78" w:rsidP="006829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4F78" w:rsidRDefault="00514F78" w:rsidP="0068299A">
      <w:pPr>
        <w:spacing w:after="0" w:line="240" w:lineRule="auto"/>
      </w:pPr>
      <w:r>
        <w:separator/>
      </w:r>
    </w:p>
  </w:footnote>
  <w:footnote w:type="continuationSeparator" w:id="0">
    <w:p w:rsidR="00514F78" w:rsidRDefault="00514F78" w:rsidP="006829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627797"/>
    <w:multiLevelType w:val="hybridMultilevel"/>
    <w:tmpl w:val="D94271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E30657E"/>
    <w:multiLevelType w:val="hybridMultilevel"/>
    <w:tmpl w:val="DCB82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156"/>
    <w:rsid w:val="0005649C"/>
    <w:rsid w:val="00131941"/>
    <w:rsid w:val="00221773"/>
    <w:rsid w:val="00262D33"/>
    <w:rsid w:val="002E5D23"/>
    <w:rsid w:val="003578C3"/>
    <w:rsid w:val="00364E36"/>
    <w:rsid w:val="003744F3"/>
    <w:rsid w:val="003B08F7"/>
    <w:rsid w:val="003B3842"/>
    <w:rsid w:val="003D6B93"/>
    <w:rsid w:val="0040137F"/>
    <w:rsid w:val="004C3623"/>
    <w:rsid w:val="004E7977"/>
    <w:rsid w:val="00514F78"/>
    <w:rsid w:val="00582032"/>
    <w:rsid w:val="005C4241"/>
    <w:rsid w:val="0065650A"/>
    <w:rsid w:val="00662166"/>
    <w:rsid w:val="0068299A"/>
    <w:rsid w:val="006A6948"/>
    <w:rsid w:val="00723B0A"/>
    <w:rsid w:val="00777A82"/>
    <w:rsid w:val="00783298"/>
    <w:rsid w:val="00814B25"/>
    <w:rsid w:val="008354F6"/>
    <w:rsid w:val="00856323"/>
    <w:rsid w:val="008616C9"/>
    <w:rsid w:val="0089602C"/>
    <w:rsid w:val="00915811"/>
    <w:rsid w:val="0093278F"/>
    <w:rsid w:val="009A76E7"/>
    <w:rsid w:val="009C6B28"/>
    <w:rsid w:val="00A22156"/>
    <w:rsid w:val="00A74C60"/>
    <w:rsid w:val="00AB450D"/>
    <w:rsid w:val="00AF4585"/>
    <w:rsid w:val="00B630A3"/>
    <w:rsid w:val="00B6492D"/>
    <w:rsid w:val="00B84F46"/>
    <w:rsid w:val="00BC723E"/>
    <w:rsid w:val="00BE7D6A"/>
    <w:rsid w:val="00BF0188"/>
    <w:rsid w:val="00CE5B4C"/>
    <w:rsid w:val="00CE7037"/>
    <w:rsid w:val="00D84502"/>
    <w:rsid w:val="00E7099E"/>
    <w:rsid w:val="00E720B6"/>
    <w:rsid w:val="00E778CD"/>
    <w:rsid w:val="00FC4D9E"/>
    <w:rsid w:val="00FF05F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567E0"/>
  <w15:chartTrackingRefBased/>
  <w15:docId w15:val="{7EAA58CE-E6E6-4521-872B-3E6B33505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22156"/>
    <w:pPr>
      <w:ind w:left="720"/>
      <w:contextualSpacing/>
    </w:pPr>
  </w:style>
  <w:style w:type="paragraph" w:styleId="a4">
    <w:name w:val="header"/>
    <w:basedOn w:val="a"/>
    <w:link w:val="a5"/>
    <w:uiPriority w:val="99"/>
    <w:unhideWhenUsed/>
    <w:rsid w:val="0068299A"/>
    <w:pPr>
      <w:tabs>
        <w:tab w:val="center" w:pos="4680"/>
        <w:tab w:val="right" w:pos="9360"/>
      </w:tabs>
      <w:spacing w:after="0" w:line="240" w:lineRule="auto"/>
    </w:pPr>
  </w:style>
  <w:style w:type="character" w:customStyle="1" w:styleId="a5">
    <w:name w:val="כותרת עליונה תו"/>
    <w:basedOn w:val="a0"/>
    <w:link w:val="a4"/>
    <w:uiPriority w:val="99"/>
    <w:rsid w:val="0068299A"/>
  </w:style>
  <w:style w:type="paragraph" w:styleId="a6">
    <w:name w:val="footer"/>
    <w:basedOn w:val="a"/>
    <w:link w:val="a7"/>
    <w:uiPriority w:val="99"/>
    <w:unhideWhenUsed/>
    <w:rsid w:val="0068299A"/>
    <w:pPr>
      <w:tabs>
        <w:tab w:val="center" w:pos="4680"/>
        <w:tab w:val="right" w:pos="9360"/>
      </w:tabs>
      <w:spacing w:after="0" w:line="240" w:lineRule="auto"/>
    </w:pPr>
  </w:style>
  <w:style w:type="character" w:customStyle="1" w:styleId="a7">
    <w:name w:val="כותרת תחתונה תו"/>
    <w:basedOn w:val="a0"/>
    <w:link w:val="a6"/>
    <w:uiPriority w:val="99"/>
    <w:rsid w:val="0068299A"/>
  </w:style>
  <w:style w:type="table" w:styleId="a8">
    <w:name w:val="Table Grid"/>
    <w:basedOn w:val="a1"/>
    <w:uiPriority w:val="39"/>
    <w:rsid w:val="005820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chart" Target="charts/chart3.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jpg"/><Relationship Id="rId27" Type="http://schemas.openxmlformats.org/officeDocument/2006/relationships/image" Target="media/image17.png"/></Relationships>
</file>

<file path=word/charts/_rels/chart1.xml.rels><?xml version="1.0" encoding="UTF-8" standalone="yes"?>
<Relationships xmlns="http://schemas.openxmlformats.org/package/2006/relationships"><Relationship Id="rId1" Type="http://schemas.openxmlformats.org/officeDocument/2006/relationships/oleObject" Target="&#1495;&#1493;&#1489;&#1512;&#1514;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1495;&#1493;&#1489;&#1512;&#1514;1"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onelo\repo\alogotrading\HM4\QC\Stoploss%20op%20repo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pivotSource>
    <c:name>[Sample&amp;long analasys.xlsx]Max drawdown &amp; long!PivotTable2</c:name>
    <c:fmtId val="-1"/>
  </c:pivotSource>
  <c:chart>
    <c:autoTitleDeleted val="0"/>
    <c:pivotFmts>
      <c:pivotFmt>
        <c:idx val="0"/>
        <c:spPr>
          <a:solidFill>
            <a:schemeClr val="accent1"/>
          </a:solidFill>
          <a:ln/>
          <a:effectLst/>
          <a:sp3d/>
        </c:spPr>
        <c:marker>
          <c:symbol val="none"/>
        </c:marker>
      </c:pivotFmt>
      <c:pivotFmt>
        <c:idx val="1"/>
        <c:spPr>
          <a:solidFill>
            <a:schemeClr val="accent1"/>
          </a:solidFill>
          <a:ln/>
          <a:effectLst/>
          <a:sp3d/>
        </c:spPr>
        <c:marker>
          <c:symbol val="none"/>
        </c:marker>
      </c:pivotFmt>
      <c:pivotFmt>
        <c:idx val="2"/>
        <c:spPr>
          <a:solidFill>
            <a:schemeClr val="accent1"/>
          </a:solidFill>
          <a:ln/>
          <a:effectLst/>
          <a:sp3d/>
        </c:spPr>
        <c:marker>
          <c:symbol val="none"/>
        </c:marker>
      </c:pivotFmt>
      <c:pivotFmt>
        <c:idx val="3"/>
        <c:spPr>
          <a:solidFill>
            <a:schemeClr val="accent1"/>
          </a:solidFill>
          <a:ln/>
          <a:effectLst/>
          <a:sp3d/>
        </c:spPr>
        <c:marker>
          <c:symbol val="none"/>
        </c:marker>
      </c:pivotFmt>
      <c:pivotFmt>
        <c:idx val="4"/>
        <c:spPr>
          <a:solidFill>
            <a:schemeClr val="accent1"/>
          </a:solidFill>
          <a:ln/>
          <a:effectLst/>
          <a:sp3d/>
        </c:spPr>
        <c:marker>
          <c:symbol val="none"/>
        </c:marker>
      </c:pivotFmt>
      <c:pivotFmt>
        <c:idx val="5"/>
        <c:spPr>
          <a:solidFill>
            <a:schemeClr val="accent1"/>
          </a:solidFill>
          <a:ln/>
          <a:effectLst/>
          <a:sp3d/>
        </c:spPr>
        <c:marker>
          <c:symbol val="none"/>
        </c:marker>
      </c:pivotFmt>
      <c:pivotFmt>
        <c:idx val="6"/>
        <c:spPr>
          <a:solidFill>
            <a:schemeClr val="accent1"/>
          </a:solidFill>
          <a:ln/>
          <a:effectLst/>
          <a:sp3d/>
        </c:spPr>
        <c:marker>
          <c:symbol val="none"/>
        </c:marker>
      </c:pivotFmt>
      <c:pivotFmt>
        <c:idx val="7"/>
        <c:spPr>
          <a:solidFill>
            <a:schemeClr val="accent1"/>
          </a:solidFill>
          <a:ln/>
          <a:effectLst/>
          <a:sp3d/>
        </c:spPr>
        <c:marker>
          <c:symbol val="none"/>
        </c:marker>
      </c:pivotFmt>
      <c:pivotFmt>
        <c:idx val="8"/>
        <c:spPr>
          <a:solidFill>
            <a:schemeClr val="accent1"/>
          </a:solidFill>
          <a:ln/>
          <a:effectLst/>
          <a:sp3d/>
        </c:spPr>
        <c:marker>
          <c:symbol val="none"/>
        </c:marker>
      </c:pivotFmt>
      <c:pivotFmt>
        <c:idx val="9"/>
        <c:spPr>
          <a:solidFill>
            <a:schemeClr val="accent1"/>
          </a:solidFill>
          <a:ln/>
          <a:effectLst/>
          <a:sp3d/>
        </c:spPr>
        <c:marker>
          <c:symbol val="none"/>
        </c:marker>
      </c:pivotFmt>
      <c:pivotFmt>
        <c:idx val="10"/>
        <c:spPr>
          <a:solidFill>
            <a:schemeClr val="accent1"/>
          </a:solidFill>
          <a:ln/>
          <a:effectLst/>
          <a:sp3d/>
        </c:spPr>
        <c:marker>
          <c:symbol val="none"/>
        </c:marker>
      </c:pivotFmt>
      <c:pivotFmt>
        <c:idx val="11"/>
        <c:spPr>
          <a:solidFill>
            <a:schemeClr val="accent1"/>
          </a:solidFill>
          <a:ln/>
          <a:effectLst/>
          <a:sp3d/>
        </c:spPr>
        <c:marker>
          <c:symbol val="none"/>
        </c:marker>
      </c:pivotFmt>
      <c:pivotFmt>
        <c:idx val="12"/>
        <c:spPr>
          <a:solidFill>
            <a:schemeClr val="accent1"/>
          </a:solidFill>
          <a:ln/>
          <a:effectLst/>
          <a:sp3d/>
        </c:spPr>
        <c:marker>
          <c:symbol val="none"/>
        </c:marker>
      </c:pivotFmt>
      <c:pivotFmt>
        <c:idx val="13"/>
        <c:spPr>
          <a:solidFill>
            <a:schemeClr val="accent1"/>
          </a:solidFill>
          <a:ln/>
          <a:effectLst/>
          <a:sp3d/>
        </c:spPr>
        <c:marker>
          <c:symbol val="none"/>
        </c:marker>
      </c:pivotFmt>
      <c:pivotFmt>
        <c:idx val="14"/>
        <c:spPr>
          <a:solidFill>
            <a:schemeClr val="accent1"/>
          </a:solidFill>
          <a:ln/>
          <a:effectLst/>
          <a:sp3d/>
        </c:spPr>
        <c:marker>
          <c:symbol val="none"/>
        </c:marker>
      </c:pivotFmt>
      <c:pivotFmt>
        <c:idx val="15"/>
        <c:spPr>
          <a:solidFill>
            <a:schemeClr val="accent1"/>
          </a:solidFill>
          <a:ln/>
          <a:effectLst/>
          <a:sp3d/>
        </c:spPr>
        <c:marker>
          <c:symbol val="none"/>
        </c:marker>
      </c:pivotFmt>
      <c:pivotFmt>
        <c:idx val="16"/>
        <c:spPr>
          <a:solidFill>
            <a:schemeClr val="accent1"/>
          </a:solidFill>
          <a:ln/>
          <a:effectLst/>
          <a:sp3d/>
        </c:spPr>
        <c:marker>
          <c:symbol val="none"/>
        </c:marker>
      </c:pivotFmt>
      <c:pivotFmt>
        <c:idx val="17"/>
        <c:spPr>
          <a:solidFill>
            <a:schemeClr val="accent1"/>
          </a:solidFill>
          <a:ln/>
          <a:effectLst/>
          <a:sp3d/>
        </c:spPr>
        <c:marker>
          <c:symbol val="none"/>
        </c:marker>
      </c:pivotFmt>
      <c:pivotFmt>
        <c:idx val="18"/>
        <c:spPr>
          <a:solidFill>
            <a:schemeClr val="accent1"/>
          </a:solidFill>
          <a:ln/>
          <a:effectLst/>
          <a:sp3d/>
        </c:spPr>
        <c:marker>
          <c:symbol val="none"/>
        </c:marker>
      </c:pivotFmt>
      <c:pivotFmt>
        <c:idx val="19"/>
        <c:spPr>
          <a:solidFill>
            <a:schemeClr val="accent1"/>
          </a:solidFill>
          <a:ln/>
          <a:effectLst/>
          <a:sp3d/>
        </c:spPr>
        <c:marker>
          <c:symbol val="none"/>
        </c:marker>
      </c:pivotFmt>
      <c:pivotFmt>
        <c:idx val="20"/>
        <c:spPr>
          <a:solidFill>
            <a:schemeClr val="accent1"/>
          </a:solidFill>
          <a:ln/>
          <a:effectLst/>
          <a:sp3d/>
        </c:spPr>
        <c:marker>
          <c:symbol val="none"/>
        </c:marker>
      </c:pivotFmt>
      <c:pivotFmt>
        <c:idx val="21"/>
        <c:spPr>
          <a:solidFill>
            <a:schemeClr val="accent1"/>
          </a:solidFill>
          <a:ln/>
          <a:effectLst/>
          <a:sp3d/>
        </c:spPr>
        <c:marker>
          <c:symbol val="none"/>
        </c:marker>
      </c:pivotFmt>
      <c:pivotFmt>
        <c:idx val="22"/>
        <c:spPr>
          <a:solidFill>
            <a:schemeClr val="accent1"/>
          </a:solidFill>
          <a:ln/>
          <a:effectLst/>
          <a:sp3d/>
        </c:spPr>
        <c:marker>
          <c:symbol val="none"/>
        </c:marker>
      </c:pivotFmt>
      <c:pivotFmt>
        <c:idx val="23"/>
        <c:spPr>
          <a:solidFill>
            <a:schemeClr val="accent1"/>
          </a:solidFill>
          <a:ln/>
          <a:effectLst/>
          <a:sp3d/>
        </c:spPr>
        <c:marker>
          <c:symbol val="none"/>
        </c:marker>
      </c:pivotFmt>
      <c:pivotFmt>
        <c:idx val="24"/>
        <c:spPr>
          <a:solidFill>
            <a:schemeClr val="accent1"/>
          </a:solidFill>
          <a:ln/>
          <a:effectLst/>
          <a:sp3d/>
        </c:spPr>
        <c:marker>
          <c:symbol val="none"/>
        </c:marker>
      </c:pivotFmt>
      <c:pivotFmt>
        <c:idx val="25"/>
        <c:spPr>
          <a:solidFill>
            <a:schemeClr val="accent1"/>
          </a:solidFill>
          <a:ln/>
          <a:effectLst/>
          <a:sp3d/>
        </c:spPr>
        <c:marker>
          <c:symbol val="none"/>
        </c:marker>
      </c:pivotFmt>
      <c:pivotFmt>
        <c:idx val="26"/>
        <c:spPr>
          <a:solidFill>
            <a:schemeClr val="accent1"/>
          </a:solidFill>
          <a:ln/>
          <a:effectLst/>
          <a:sp3d/>
        </c:spPr>
        <c:marker>
          <c:symbol val="none"/>
        </c:marker>
      </c:pivotFmt>
      <c:pivotFmt>
        <c:idx val="27"/>
        <c:spPr>
          <a:solidFill>
            <a:schemeClr val="accent1"/>
          </a:solidFill>
          <a:ln/>
          <a:effectLst/>
          <a:sp3d/>
        </c:spPr>
        <c:marker>
          <c:symbol val="none"/>
        </c:marker>
      </c:pivotFmt>
      <c:pivotFmt>
        <c:idx val="28"/>
        <c:spPr>
          <a:solidFill>
            <a:schemeClr val="accent1"/>
          </a:solidFill>
          <a:ln/>
          <a:effectLst/>
          <a:sp3d/>
        </c:spPr>
        <c:marker>
          <c:symbol val="none"/>
        </c:marker>
      </c:pivotFmt>
      <c:pivotFmt>
        <c:idx val="29"/>
        <c:spPr>
          <a:solidFill>
            <a:schemeClr val="accent1"/>
          </a:solidFill>
          <a:ln/>
          <a:effectLst/>
          <a:sp3d/>
        </c:spPr>
        <c:marker>
          <c:symbol val="none"/>
        </c:marker>
      </c:pivotFmt>
      <c:pivotFmt>
        <c:idx val="30"/>
        <c:spPr>
          <a:solidFill>
            <a:schemeClr val="accent1"/>
          </a:solidFill>
          <a:ln/>
          <a:effectLst/>
          <a:sp3d/>
        </c:spPr>
        <c:marker>
          <c:symbol val="none"/>
        </c:marker>
      </c:pivotFmt>
      <c:pivotFmt>
        <c:idx val="31"/>
        <c:spPr>
          <a:solidFill>
            <a:schemeClr val="accent1"/>
          </a:solidFill>
          <a:ln/>
          <a:effectLst/>
          <a:sp3d/>
        </c:spPr>
        <c:marker>
          <c:symbol val="none"/>
        </c:marker>
      </c:pivotFmt>
      <c:pivotFmt>
        <c:idx val="32"/>
        <c:spPr>
          <a:solidFill>
            <a:schemeClr val="accent1"/>
          </a:solidFill>
          <a:ln/>
          <a:effectLst/>
          <a:sp3d/>
        </c:spPr>
        <c:marker>
          <c:symbol val="none"/>
        </c:marker>
      </c:pivotFmt>
      <c:pivotFmt>
        <c:idx val="33"/>
        <c:spPr>
          <a:solidFill>
            <a:schemeClr val="accent1"/>
          </a:solidFill>
          <a:ln/>
          <a:effectLst/>
          <a:sp3d/>
        </c:spPr>
        <c:marker>
          <c:symbol val="none"/>
        </c:marker>
      </c:pivotFmt>
      <c:pivotFmt>
        <c:idx val="34"/>
        <c:spPr>
          <a:solidFill>
            <a:schemeClr val="accent1"/>
          </a:solidFill>
          <a:ln/>
          <a:effectLst/>
          <a:sp3d/>
        </c:spPr>
        <c:marker>
          <c:symbol val="none"/>
        </c:marker>
      </c:pivotFmt>
      <c:pivotFmt>
        <c:idx val="35"/>
        <c:spPr>
          <a:solidFill>
            <a:schemeClr val="accent1"/>
          </a:solidFill>
          <a:ln/>
          <a:effectLst/>
          <a:sp3d/>
        </c:spPr>
        <c:marker>
          <c:symbol val="none"/>
        </c:marker>
      </c:pivotFmt>
      <c:pivotFmt>
        <c:idx val="36"/>
        <c:spPr>
          <a:solidFill>
            <a:schemeClr val="accent1"/>
          </a:solidFill>
          <a:ln/>
          <a:effectLst/>
          <a:sp3d/>
        </c:spPr>
        <c:marker>
          <c:symbol val="none"/>
        </c:marker>
      </c:pivotFmt>
      <c:pivotFmt>
        <c:idx val="37"/>
        <c:spPr>
          <a:solidFill>
            <a:schemeClr val="accent1"/>
          </a:solidFill>
          <a:ln/>
          <a:effectLst/>
          <a:sp3d/>
        </c:spPr>
        <c:marker>
          <c:symbol val="none"/>
        </c:marker>
      </c:pivotFmt>
      <c:pivotFmt>
        <c:idx val="38"/>
        <c:spPr>
          <a:solidFill>
            <a:schemeClr val="accent1"/>
          </a:solidFill>
          <a:ln/>
          <a:effectLst/>
          <a:sp3d/>
        </c:spPr>
        <c:marker>
          <c:symbol val="none"/>
        </c:marker>
      </c:pivotFmt>
      <c:pivotFmt>
        <c:idx val="39"/>
        <c:spPr>
          <a:solidFill>
            <a:schemeClr val="accent1"/>
          </a:solidFill>
          <a:ln/>
          <a:effectLst/>
          <a:sp3d/>
        </c:spPr>
        <c:marker>
          <c:symbol val="none"/>
        </c:marker>
      </c:pivotFmt>
      <c:pivotFmt>
        <c:idx val="40"/>
        <c:spPr>
          <a:solidFill>
            <a:schemeClr val="accent1"/>
          </a:solidFill>
          <a:ln/>
          <a:effectLst/>
          <a:sp3d/>
        </c:spPr>
        <c:marker>
          <c:symbol val="none"/>
        </c:marker>
      </c:pivotFmt>
      <c:pivotFmt>
        <c:idx val="41"/>
        <c:spPr>
          <a:solidFill>
            <a:schemeClr val="accent1"/>
          </a:solidFill>
          <a:ln/>
          <a:effectLst/>
          <a:sp3d/>
        </c:spPr>
      </c:pivotFmt>
      <c:pivotFmt>
        <c:idx val="42"/>
        <c:spPr>
          <a:solidFill>
            <a:schemeClr val="accent2"/>
          </a:solidFill>
          <a:ln/>
          <a:effectLst/>
          <a:sp3d/>
        </c:spPr>
      </c:pivotFmt>
      <c:pivotFmt>
        <c:idx val="43"/>
        <c:spPr>
          <a:solidFill>
            <a:schemeClr val="accent3"/>
          </a:solidFill>
          <a:ln/>
          <a:effectLst/>
          <a:sp3d/>
        </c:spPr>
      </c:pivotFmt>
      <c:pivotFmt>
        <c:idx val="44"/>
        <c:spPr>
          <a:solidFill>
            <a:schemeClr val="accent4"/>
          </a:solidFill>
          <a:ln/>
          <a:effectLst/>
          <a:sp3d/>
        </c:spPr>
      </c:pivotFmt>
      <c:pivotFmt>
        <c:idx val="45"/>
        <c:spPr>
          <a:solidFill>
            <a:schemeClr val="accent5"/>
          </a:solidFill>
          <a:ln/>
          <a:effectLst/>
          <a:sp3d/>
        </c:spPr>
      </c:pivotFmt>
      <c:pivotFmt>
        <c:idx val="46"/>
        <c:spPr>
          <a:solidFill>
            <a:schemeClr val="accent6"/>
          </a:solidFill>
          <a:ln/>
          <a:effectLst/>
          <a:sp3d/>
        </c:spPr>
      </c:pivotFmt>
      <c:pivotFmt>
        <c:idx val="47"/>
        <c:spPr>
          <a:solidFill>
            <a:schemeClr val="accent1">
              <a:lumMod val="60000"/>
            </a:schemeClr>
          </a:solidFill>
          <a:ln/>
          <a:effectLst/>
          <a:sp3d/>
        </c:spPr>
      </c:pivotFmt>
      <c:pivotFmt>
        <c:idx val="48"/>
        <c:spPr>
          <a:solidFill>
            <a:schemeClr val="accent2">
              <a:lumMod val="60000"/>
            </a:schemeClr>
          </a:solidFill>
          <a:ln/>
          <a:effectLst/>
          <a:sp3d/>
        </c:spPr>
      </c:pivotFmt>
      <c:pivotFmt>
        <c:idx val="49"/>
        <c:spPr>
          <a:solidFill>
            <a:schemeClr val="accent2"/>
          </a:solidFill>
          <a:ln/>
          <a:effectLst/>
          <a:sp3d/>
        </c:spPr>
        <c:marker>
          <c:symbol val="none"/>
        </c:marker>
      </c:pivotFmt>
      <c:pivotFmt>
        <c:idx val="50"/>
        <c:spPr>
          <a:solidFill>
            <a:schemeClr val="accent3"/>
          </a:solidFill>
          <a:ln/>
          <a:effectLst/>
          <a:sp3d/>
        </c:spPr>
        <c:marker>
          <c:symbol val="none"/>
        </c:marker>
      </c:pivotFmt>
      <c:pivotFmt>
        <c:idx val="51"/>
        <c:spPr>
          <a:solidFill>
            <a:schemeClr val="accent4"/>
          </a:solidFill>
          <a:ln/>
          <a:effectLst/>
          <a:sp3d/>
        </c:spPr>
        <c:marker>
          <c:symbol val="none"/>
        </c:marker>
      </c:pivotFmt>
      <c:pivotFmt>
        <c:idx val="52"/>
        <c:spPr>
          <a:solidFill>
            <a:schemeClr val="accent5"/>
          </a:solidFill>
          <a:ln/>
          <a:effectLst/>
          <a:sp3d/>
        </c:spPr>
        <c:marker>
          <c:symbol val="none"/>
        </c:marker>
      </c:pivotFmt>
      <c:pivotFmt>
        <c:idx val="53"/>
        <c:spPr>
          <a:solidFill>
            <a:schemeClr val="accent6"/>
          </a:solidFill>
          <a:ln/>
          <a:effectLst/>
          <a:sp3d/>
        </c:spPr>
        <c:marker>
          <c:symbol val="none"/>
        </c:marker>
      </c:pivotFmt>
      <c:pivotFmt>
        <c:idx val="54"/>
        <c:spPr>
          <a:solidFill>
            <a:schemeClr val="accent1">
              <a:lumMod val="60000"/>
            </a:schemeClr>
          </a:solidFill>
          <a:ln/>
          <a:effectLst/>
          <a:sp3d/>
        </c:spPr>
        <c:marker>
          <c:symbol val="none"/>
        </c:marker>
      </c:pivotFmt>
      <c:pivotFmt>
        <c:idx val="55"/>
        <c:spPr>
          <a:solidFill>
            <a:schemeClr val="accent2">
              <a:lumMod val="60000"/>
            </a:schemeClr>
          </a:solidFill>
          <a:ln/>
          <a:effectLst/>
          <a:sp3d/>
        </c:spPr>
        <c:marker>
          <c:symbol val="none"/>
        </c:marker>
      </c:pivotFmt>
      <c:pivotFmt>
        <c:idx val="56"/>
        <c:spPr>
          <a:solidFill>
            <a:schemeClr val="accent3">
              <a:lumMod val="60000"/>
            </a:schemeClr>
          </a:solidFill>
          <a:ln/>
          <a:effectLst/>
          <a:sp3d/>
        </c:spPr>
        <c:marker>
          <c:symbol val="none"/>
        </c:marker>
      </c:pivotFmt>
      <c:pivotFmt>
        <c:idx val="57"/>
        <c:spPr>
          <a:solidFill>
            <a:schemeClr val="accent4">
              <a:lumMod val="60000"/>
            </a:schemeClr>
          </a:solidFill>
          <a:ln/>
          <a:effectLst/>
          <a:sp3d/>
        </c:spPr>
        <c:marker>
          <c:symbol val="none"/>
        </c:marker>
      </c:pivotFmt>
      <c:pivotFmt>
        <c:idx val="58"/>
        <c:spPr>
          <a:solidFill>
            <a:schemeClr val="accent5">
              <a:lumMod val="60000"/>
            </a:schemeClr>
          </a:solidFill>
          <a:ln/>
          <a:effectLst/>
          <a:sp3d/>
        </c:spPr>
        <c:marker>
          <c:symbol val="none"/>
        </c:marker>
      </c:pivotFmt>
      <c:pivotFmt>
        <c:idx val="59"/>
        <c:spPr>
          <a:solidFill>
            <a:schemeClr val="accent6">
              <a:lumMod val="60000"/>
            </a:schemeClr>
          </a:solidFill>
          <a:ln/>
          <a:effectLst/>
          <a:sp3d/>
        </c:spPr>
        <c:marker>
          <c:symbol val="none"/>
        </c:marker>
      </c:pivotFmt>
      <c:pivotFmt>
        <c:idx val="60"/>
        <c:spPr>
          <a:solidFill>
            <a:schemeClr val="accent1">
              <a:lumMod val="80000"/>
              <a:lumOff val="20000"/>
            </a:schemeClr>
          </a:solidFill>
          <a:ln/>
          <a:effectLst/>
          <a:sp3d/>
        </c:spPr>
        <c:marker>
          <c:symbol val="none"/>
        </c:marker>
      </c:pivotFmt>
      <c:pivotFmt>
        <c:idx val="61"/>
        <c:spPr>
          <a:solidFill>
            <a:schemeClr val="accent2">
              <a:lumMod val="80000"/>
              <a:lumOff val="20000"/>
            </a:schemeClr>
          </a:solidFill>
          <a:ln/>
          <a:effectLst/>
          <a:sp3d/>
        </c:spPr>
        <c:marker>
          <c:symbol val="none"/>
        </c:marker>
      </c:pivotFmt>
      <c:pivotFmt>
        <c:idx val="62"/>
        <c:spPr>
          <a:solidFill>
            <a:schemeClr val="accent3">
              <a:lumMod val="80000"/>
              <a:lumOff val="20000"/>
            </a:schemeClr>
          </a:solidFill>
          <a:ln/>
          <a:effectLst/>
          <a:sp3d/>
        </c:spPr>
        <c:marker>
          <c:symbol val="none"/>
        </c:marker>
      </c:pivotFmt>
      <c:pivotFmt>
        <c:idx val="63"/>
        <c:spPr>
          <a:solidFill>
            <a:schemeClr val="accent4">
              <a:lumMod val="80000"/>
              <a:lumOff val="20000"/>
            </a:schemeClr>
          </a:solidFill>
          <a:ln/>
          <a:effectLst/>
          <a:sp3d/>
        </c:spPr>
        <c:marker>
          <c:symbol val="none"/>
        </c:marker>
      </c:pivotFmt>
      <c:pivotFmt>
        <c:idx val="64"/>
        <c:spPr>
          <a:solidFill>
            <a:schemeClr val="accent5">
              <a:lumMod val="80000"/>
              <a:lumOff val="20000"/>
            </a:schemeClr>
          </a:solidFill>
          <a:ln/>
          <a:effectLst/>
          <a:sp3d/>
        </c:spPr>
        <c:marker>
          <c:symbol val="none"/>
        </c:marker>
      </c:pivotFmt>
      <c:pivotFmt>
        <c:idx val="65"/>
        <c:spPr>
          <a:solidFill>
            <a:schemeClr val="accent6">
              <a:lumMod val="80000"/>
              <a:lumOff val="20000"/>
            </a:schemeClr>
          </a:solidFill>
          <a:ln/>
          <a:effectLst/>
          <a:sp3d/>
        </c:spPr>
        <c:marker>
          <c:symbol val="none"/>
        </c:marker>
      </c:pivotFmt>
      <c:pivotFmt>
        <c:idx val="66"/>
        <c:spPr>
          <a:solidFill>
            <a:schemeClr val="accent1">
              <a:lumMod val="80000"/>
            </a:schemeClr>
          </a:solidFill>
          <a:ln/>
          <a:effectLst/>
          <a:sp3d/>
        </c:spPr>
        <c:marker>
          <c:symbol val="none"/>
        </c:marker>
      </c:pivotFmt>
      <c:pivotFmt>
        <c:idx val="67"/>
        <c:spPr>
          <a:solidFill>
            <a:schemeClr val="accent2">
              <a:lumMod val="80000"/>
            </a:schemeClr>
          </a:solidFill>
          <a:ln/>
          <a:effectLst/>
          <a:sp3d/>
        </c:spPr>
        <c:marker>
          <c:symbol val="none"/>
        </c:marker>
      </c:pivotFmt>
      <c:pivotFmt>
        <c:idx val="68"/>
        <c:spPr>
          <a:solidFill>
            <a:schemeClr val="accent3">
              <a:lumMod val="80000"/>
            </a:schemeClr>
          </a:solidFill>
          <a:ln/>
          <a:effectLst/>
          <a:sp3d/>
        </c:spPr>
        <c:marker>
          <c:symbol val="none"/>
        </c:marker>
      </c:pivotFmt>
      <c:pivotFmt>
        <c:idx val="69"/>
        <c:spPr>
          <a:solidFill>
            <a:schemeClr val="accent4">
              <a:lumMod val="80000"/>
            </a:schemeClr>
          </a:solidFill>
          <a:ln/>
          <a:effectLst/>
          <a:sp3d/>
        </c:spPr>
        <c:marker>
          <c:symbol val="none"/>
        </c:marker>
      </c:pivotFmt>
      <c:pivotFmt>
        <c:idx val="70"/>
        <c:spPr>
          <a:solidFill>
            <a:schemeClr val="accent5">
              <a:lumMod val="80000"/>
            </a:schemeClr>
          </a:solidFill>
          <a:ln/>
          <a:effectLst/>
          <a:sp3d/>
        </c:spPr>
        <c:marker>
          <c:symbol val="none"/>
        </c:marker>
      </c:pivotFmt>
      <c:pivotFmt>
        <c:idx val="71"/>
        <c:spPr>
          <a:solidFill>
            <a:schemeClr val="accent6">
              <a:lumMod val="80000"/>
            </a:schemeClr>
          </a:solidFill>
          <a:ln/>
          <a:effectLst/>
          <a:sp3d/>
        </c:spPr>
        <c:marker>
          <c:symbol val="none"/>
        </c:marker>
      </c:pivotFmt>
      <c:pivotFmt>
        <c:idx val="72"/>
        <c:spPr>
          <a:solidFill>
            <a:schemeClr val="accent1">
              <a:lumMod val="60000"/>
              <a:lumOff val="40000"/>
            </a:schemeClr>
          </a:solidFill>
          <a:ln/>
          <a:effectLst/>
          <a:sp3d/>
        </c:spPr>
        <c:marker>
          <c:symbol val="none"/>
        </c:marker>
      </c:pivotFmt>
      <c:pivotFmt>
        <c:idx val="73"/>
        <c:spPr>
          <a:solidFill>
            <a:schemeClr val="accent2">
              <a:lumMod val="60000"/>
              <a:lumOff val="40000"/>
            </a:schemeClr>
          </a:solidFill>
          <a:ln/>
          <a:effectLst/>
          <a:sp3d/>
        </c:spPr>
        <c:marker>
          <c:symbol val="none"/>
        </c:marker>
      </c:pivotFmt>
      <c:pivotFmt>
        <c:idx val="74"/>
        <c:spPr>
          <a:solidFill>
            <a:schemeClr val="accent3">
              <a:lumMod val="60000"/>
              <a:lumOff val="40000"/>
            </a:schemeClr>
          </a:solidFill>
          <a:ln/>
          <a:effectLst/>
          <a:sp3d/>
        </c:spPr>
        <c:marker>
          <c:symbol val="none"/>
        </c:marker>
      </c:pivotFmt>
      <c:pivotFmt>
        <c:idx val="75"/>
        <c:spPr>
          <a:solidFill>
            <a:schemeClr val="accent4">
              <a:lumMod val="60000"/>
              <a:lumOff val="40000"/>
            </a:schemeClr>
          </a:solidFill>
          <a:ln/>
          <a:effectLst/>
          <a:sp3d/>
        </c:spPr>
        <c:marker>
          <c:symbol val="none"/>
        </c:marker>
      </c:pivotFmt>
      <c:pivotFmt>
        <c:idx val="76"/>
        <c:spPr>
          <a:solidFill>
            <a:schemeClr val="accent5">
              <a:lumMod val="60000"/>
              <a:lumOff val="40000"/>
            </a:schemeClr>
          </a:solidFill>
          <a:ln/>
          <a:effectLst/>
          <a:sp3d/>
        </c:spPr>
        <c:marker>
          <c:symbol val="none"/>
        </c:marker>
      </c:pivotFmt>
      <c:pivotFmt>
        <c:idx val="77"/>
        <c:spPr>
          <a:solidFill>
            <a:schemeClr val="accent6">
              <a:lumMod val="60000"/>
              <a:lumOff val="40000"/>
            </a:schemeClr>
          </a:solidFill>
          <a:ln/>
          <a:effectLst/>
          <a:sp3d/>
        </c:spPr>
        <c:marker>
          <c:symbol val="none"/>
        </c:marker>
      </c:pivotFmt>
      <c:pivotFmt>
        <c:idx val="78"/>
        <c:spPr>
          <a:solidFill>
            <a:schemeClr val="accent1">
              <a:lumMod val="50000"/>
            </a:schemeClr>
          </a:solidFill>
          <a:ln/>
          <a:effectLst/>
          <a:sp3d/>
        </c:spPr>
        <c:marker>
          <c:symbol val="none"/>
        </c:marker>
      </c:pivotFmt>
      <c:pivotFmt>
        <c:idx val="79"/>
        <c:spPr>
          <a:solidFill>
            <a:schemeClr val="accent2">
              <a:lumMod val="50000"/>
            </a:schemeClr>
          </a:solidFill>
          <a:ln/>
          <a:effectLst/>
          <a:sp3d/>
        </c:spPr>
        <c:marker>
          <c:symbol val="none"/>
        </c:marker>
      </c:pivotFmt>
      <c:pivotFmt>
        <c:idx val="80"/>
        <c:spPr>
          <a:solidFill>
            <a:schemeClr val="accent3">
              <a:lumMod val="50000"/>
            </a:schemeClr>
          </a:solidFill>
          <a:ln/>
          <a:effectLst/>
          <a:sp3d/>
        </c:spPr>
        <c:marker>
          <c:symbol val="none"/>
        </c:marker>
      </c:pivotFmt>
      <c:pivotFmt>
        <c:idx val="81"/>
        <c:spPr>
          <a:solidFill>
            <a:schemeClr val="accent4">
              <a:lumMod val="50000"/>
            </a:schemeClr>
          </a:solidFill>
          <a:ln/>
          <a:effectLst/>
          <a:sp3d/>
        </c:spPr>
        <c:marker>
          <c:symbol val="none"/>
        </c:marker>
      </c:pivotFmt>
      <c:pivotFmt>
        <c:idx val="82"/>
        <c:spPr>
          <a:solidFill>
            <a:schemeClr val="accent5">
              <a:lumMod val="50000"/>
            </a:schemeClr>
          </a:solidFill>
          <a:ln/>
          <a:effectLst/>
          <a:sp3d/>
        </c:spPr>
        <c:marker>
          <c:symbol val="none"/>
        </c:marker>
      </c:pivotFmt>
      <c:pivotFmt>
        <c:idx val="83"/>
        <c:spPr>
          <a:solidFill>
            <a:schemeClr val="accent6">
              <a:lumMod val="50000"/>
            </a:schemeClr>
          </a:solidFill>
          <a:ln/>
          <a:effectLst/>
          <a:sp3d/>
        </c:spPr>
        <c:marker>
          <c:symbol val="none"/>
        </c:marker>
      </c:pivotFmt>
      <c:pivotFmt>
        <c:idx val="84"/>
        <c:spPr>
          <a:solidFill>
            <a:schemeClr val="accent1">
              <a:lumMod val="70000"/>
              <a:lumOff val="30000"/>
            </a:schemeClr>
          </a:solidFill>
          <a:ln/>
          <a:effectLst/>
          <a:sp3d/>
        </c:spPr>
        <c:marker>
          <c:symbol val="none"/>
        </c:marker>
      </c:pivotFmt>
      <c:pivotFmt>
        <c:idx val="85"/>
        <c:spPr>
          <a:solidFill>
            <a:schemeClr val="accent2">
              <a:lumMod val="70000"/>
              <a:lumOff val="30000"/>
            </a:schemeClr>
          </a:solidFill>
          <a:ln/>
          <a:effectLst/>
          <a:sp3d/>
        </c:spPr>
        <c:marker>
          <c:symbol val="none"/>
        </c:marker>
      </c:pivotFmt>
      <c:pivotFmt>
        <c:idx val="86"/>
        <c:spPr>
          <a:solidFill>
            <a:schemeClr val="accent3">
              <a:lumMod val="70000"/>
              <a:lumOff val="30000"/>
            </a:schemeClr>
          </a:solidFill>
          <a:ln/>
          <a:effectLst/>
          <a:sp3d/>
        </c:spPr>
        <c:marker>
          <c:symbol val="none"/>
        </c:marker>
      </c:pivotFmt>
      <c:pivotFmt>
        <c:idx val="87"/>
        <c:spPr>
          <a:solidFill>
            <a:schemeClr val="accent4">
              <a:lumMod val="70000"/>
              <a:lumOff val="30000"/>
            </a:schemeClr>
          </a:solidFill>
          <a:ln/>
          <a:effectLst/>
          <a:sp3d/>
        </c:spPr>
        <c:marker>
          <c:symbol val="none"/>
        </c:marker>
      </c:pivotFmt>
      <c:pivotFmt>
        <c:idx val="88"/>
        <c:spPr>
          <a:solidFill>
            <a:schemeClr val="accent1"/>
          </a:solidFill>
          <a:ln/>
          <a:effectLst/>
          <a:sp3d/>
        </c:spPr>
        <c:marker>
          <c:symbol val="none"/>
        </c:marker>
      </c:pivotFmt>
      <c:pivotFmt>
        <c:idx val="89"/>
        <c:spPr>
          <a:solidFill>
            <a:schemeClr val="accent1"/>
          </a:solidFill>
          <a:ln/>
          <a:effectLst/>
          <a:sp3d/>
        </c:spPr>
      </c:pivotFmt>
      <c:pivotFmt>
        <c:idx val="90"/>
        <c:spPr>
          <a:solidFill>
            <a:schemeClr val="accent2"/>
          </a:solidFill>
          <a:ln/>
          <a:effectLst/>
          <a:sp3d/>
        </c:spPr>
      </c:pivotFmt>
      <c:pivotFmt>
        <c:idx val="91"/>
        <c:spPr>
          <a:solidFill>
            <a:schemeClr val="accent3"/>
          </a:solidFill>
          <a:ln/>
          <a:effectLst/>
          <a:sp3d/>
        </c:spPr>
      </c:pivotFmt>
      <c:pivotFmt>
        <c:idx val="92"/>
        <c:spPr>
          <a:solidFill>
            <a:schemeClr val="accent4"/>
          </a:solidFill>
          <a:ln/>
          <a:effectLst/>
          <a:sp3d/>
        </c:spPr>
      </c:pivotFmt>
      <c:pivotFmt>
        <c:idx val="93"/>
        <c:spPr>
          <a:solidFill>
            <a:schemeClr val="accent5"/>
          </a:solidFill>
          <a:ln/>
          <a:effectLst/>
          <a:sp3d/>
        </c:spPr>
      </c:pivotFmt>
      <c:pivotFmt>
        <c:idx val="94"/>
        <c:spPr>
          <a:solidFill>
            <a:schemeClr val="accent6"/>
          </a:solidFill>
          <a:ln/>
          <a:effectLst/>
          <a:sp3d/>
        </c:spPr>
      </c:pivotFmt>
      <c:pivotFmt>
        <c:idx val="95"/>
        <c:spPr>
          <a:solidFill>
            <a:schemeClr val="accent1">
              <a:lumMod val="60000"/>
            </a:schemeClr>
          </a:solidFill>
          <a:ln/>
          <a:effectLst/>
          <a:sp3d/>
        </c:spPr>
      </c:pivotFmt>
      <c:pivotFmt>
        <c:idx val="96"/>
        <c:spPr>
          <a:solidFill>
            <a:schemeClr val="accent2">
              <a:lumMod val="60000"/>
            </a:schemeClr>
          </a:solidFill>
          <a:ln/>
          <a:effectLst/>
          <a:sp3d/>
        </c:spPr>
      </c:pivotFmt>
      <c:pivotFmt>
        <c:idx val="97"/>
        <c:spPr>
          <a:solidFill>
            <a:schemeClr val="accent2"/>
          </a:solidFill>
          <a:ln/>
          <a:effectLst/>
          <a:sp3d/>
        </c:spPr>
        <c:marker>
          <c:symbol val="none"/>
        </c:marker>
      </c:pivotFmt>
      <c:pivotFmt>
        <c:idx val="98"/>
        <c:spPr>
          <a:solidFill>
            <a:schemeClr val="accent3"/>
          </a:solidFill>
          <a:ln/>
          <a:effectLst/>
          <a:sp3d/>
        </c:spPr>
        <c:marker>
          <c:symbol val="none"/>
        </c:marker>
      </c:pivotFmt>
      <c:pivotFmt>
        <c:idx val="99"/>
        <c:spPr>
          <a:solidFill>
            <a:schemeClr val="accent4"/>
          </a:solidFill>
          <a:ln/>
          <a:effectLst/>
          <a:sp3d/>
        </c:spPr>
        <c:marker>
          <c:symbol val="none"/>
        </c:marker>
      </c:pivotFmt>
      <c:pivotFmt>
        <c:idx val="100"/>
        <c:spPr>
          <a:solidFill>
            <a:schemeClr val="accent5"/>
          </a:solidFill>
          <a:ln/>
          <a:effectLst/>
          <a:sp3d/>
        </c:spPr>
        <c:marker>
          <c:symbol val="none"/>
        </c:marker>
      </c:pivotFmt>
      <c:pivotFmt>
        <c:idx val="101"/>
        <c:spPr>
          <a:solidFill>
            <a:schemeClr val="accent6"/>
          </a:solidFill>
          <a:ln/>
          <a:effectLst/>
          <a:sp3d/>
        </c:spPr>
        <c:marker>
          <c:symbol val="none"/>
        </c:marker>
      </c:pivotFmt>
      <c:pivotFmt>
        <c:idx val="102"/>
        <c:spPr>
          <a:solidFill>
            <a:schemeClr val="accent1">
              <a:lumMod val="60000"/>
            </a:schemeClr>
          </a:solidFill>
          <a:ln/>
          <a:effectLst/>
          <a:sp3d/>
        </c:spPr>
        <c:marker>
          <c:symbol val="none"/>
        </c:marker>
      </c:pivotFmt>
      <c:pivotFmt>
        <c:idx val="103"/>
        <c:spPr>
          <a:solidFill>
            <a:schemeClr val="accent2">
              <a:lumMod val="60000"/>
            </a:schemeClr>
          </a:solidFill>
          <a:ln/>
          <a:effectLst/>
          <a:sp3d/>
        </c:spPr>
        <c:marker>
          <c:symbol val="none"/>
        </c:marker>
      </c:pivotFmt>
      <c:pivotFmt>
        <c:idx val="104"/>
        <c:spPr>
          <a:solidFill>
            <a:schemeClr val="accent3">
              <a:lumMod val="60000"/>
            </a:schemeClr>
          </a:solidFill>
          <a:ln/>
          <a:effectLst/>
          <a:sp3d/>
        </c:spPr>
        <c:marker>
          <c:symbol val="none"/>
        </c:marker>
      </c:pivotFmt>
      <c:pivotFmt>
        <c:idx val="105"/>
        <c:spPr>
          <a:solidFill>
            <a:schemeClr val="accent4">
              <a:lumMod val="60000"/>
            </a:schemeClr>
          </a:solidFill>
          <a:ln/>
          <a:effectLst/>
          <a:sp3d/>
        </c:spPr>
        <c:marker>
          <c:symbol val="none"/>
        </c:marker>
      </c:pivotFmt>
      <c:pivotFmt>
        <c:idx val="106"/>
        <c:spPr>
          <a:solidFill>
            <a:schemeClr val="accent5">
              <a:lumMod val="60000"/>
            </a:schemeClr>
          </a:solidFill>
          <a:ln/>
          <a:effectLst/>
          <a:sp3d/>
        </c:spPr>
        <c:marker>
          <c:symbol val="none"/>
        </c:marker>
      </c:pivotFmt>
      <c:pivotFmt>
        <c:idx val="107"/>
        <c:spPr>
          <a:solidFill>
            <a:schemeClr val="accent6">
              <a:lumMod val="60000"/>
            </a:schemeClr>
          </a:solidFill>
          <a:ln/>
          <a:effectLst/>
          <a:sp3d/>
        </c:spPr>
        <c:marker>
          <c:symbol val="none"/>
        </c:marker>
      </c:pivotFmt>
      <c:pivotFmt>
        <c:idx val="108"/>
        <c:spPr>
          <a:solidFill>
            <a:schemeClr val="accent1">
              <a:lumMod val="80000"/>
              <a:lumOff val="20000"/>
            </a:schemeClr>
          </a:solidFill>
          <a:ln/>
          <a:effectLst/>
          <a:sp3d/>
        </c:spPr>
        <c:marker>
          <c:symbol val="none"/>
        </c:marker>
      </c:pivotFmt>
      <c:pivotFmt>
        <c:idx val="109"/>
        <c:spPr>
          <a:solidFill>
            <a:schemeClr val="accent2">
              <a:lumMod val="80000"/>
              <a:lumOff val="20000"/>
            </a:schemeClr>
          </a:solidFill>
          <a:ln/>
          <a:effectLst/>
          <a:sp3d/>
        </c:spPr>
        <c:marker>
          <c:symbol val="none"/>
        </c:marker>
      </c:pivotFmt>
      <c:pivotFmt>
        <c:idx val="110"/>
        <c:spPr>
          <a:solidFill>
            <a:schemeClr val="accent3">
              <a:lumMod val="80000"/>
              <a:lumOff val="20000"/>
            </a:schemeClr>
          </a:solidFill>
          <a:ln/>
          <a:effectLst/>
          <a:sp3d/>
        </c:spPr>
        <c:marker>
          <c:symbol val="none"/>
        </c:marker>
      </c:pivotFmt>
      <c:pivotFmt>
        <c:idx val="111"/>
        <c:spPr>
          <a:solidFill>
            <a:schemeClr val="accent4">
              <a:lumMod val="80000"/>
              <a:lumOff val="20000"/>
            </a:schemeClr>
          </a:solidFill>
          <a:ln/>
          <a:effectLst/>
          <a:sp3d/>
        </c:spPr>
        <c:marker>
          <c:symbol val="none"/>
        </c:marker>
      </c:pivotFmt>
      <c:pivotFmt>
        <c:idx val="112"/>
        <c:spPr>
          <a:solidFill>
            <a:schemeClr val="accent5">
              <a:lumMod val="80000"/>
              <a:lumOff val="20000"/>
            </a:schemeClr>
          </a:solidFill>
          <a:ln/>
          <a:effectLst/>
          <a:sp3d/>
        </c:spPr>
        <c:marker>
          <c:symbol val="none"/>
        </c:marker>
      </c:pivotFmt>
      <c:pivotFmt>
        <c:idx val="113"/>
        <c:spPr>
          <a:solidFill>
            <a:schemeClr val="accent6">
              <a:lumMod val="80000"/>
              <a:lumOff val="20000"/>
            </a:schemeClr>
          </a:solidFill>
          <a:ln/>
          <a:effectLst/>
          <a:sp3d/>
        </c:spPr>
        <c:marker>
          <c:symbol val="none"/>
        </c:marker>
      </c:pivotFmt>
      <c:pivotFmt>
        <c:idx val="114"/>
        <c:spPr>
          <a:solidFill>
            <a:schemeClr val="accent1">
              <a:lumMod val="80000"/>
            </a:schemeClr>
          </a:solidFill>
          <a:ln/>
          <a:effectLst/>
          <a:sp3d/>
        </c:spPr>
        <c:marker>
          <c:symbol val="none"/>
        </c:marker>
      </c:pivotFmt>
      <c:pivotFmt>
        <c:idx val="115"/>
        <c:spPr>
          <a:solidFill>
            <a:schemeClr val="accent2">
              <a:lumMod val="80000"/>
            </a:schemeClr>
          </a:solidFill>
          <a:ln/>
          <a:effectLst/>
          <a:sp3d/>
        </c:spPr>
        <c:marker>
          <c:symbol val="none"/>
        </c:marker>
      </c:pivotFmt>
      <c:pivotFmt>
        <c:idx val="116"/>
        <c:spPr>
          <a:solidFill>
            <a:schemeClr val="accent3">
              <a:lumMod val="80000"/>
            </a:schemeClr>
          </a:solidFill>
          <a:ln/>
          <a:effectLst/>
          <a:sp3d/>
        </c:spPr>
        <c:marker>
          <c:symbol val="none"/>
        </c:marker>
      </c:pivotFmt>
      <c:pivotFmt>
        <c:idx val="117"/>
        <c:spPr>
          <a:solidFill>
            <a:schemeClr val="accent4">
              <a:lumMod val="80000"/>
            </a:schemeClr>
          </a:solidFill>
          <a:ln/>
          <a:effectLst/>
          <a:sp3d/>
        </c:spPr>
        <c:marker>
          <c:symbol val="none"/>
        </c:marker>
      </c:pivotFmt>
      <c:pivotFmt>
        <c:idx val="118"/>
        <c:spPr>
          <a:solidFill>
            <a:schemeClr val="accent5">
              <a:lumMod val="80000"/>
            </a:schemeClr>
          </a:solidFill>
          <a:ln/>
          <a:effectLst/>
          <a:sp3d/>
        </c:spPr>
        <c:marker>
          <c:symbol val="none"/>
        </c:marker>
      </c:pivotFmt>
      <c:pivotFmt>
        <c:idx val="119"/>
        <c:spPr>
          <a:solidFill>
            <a:schemeClr val="accent6">
              <a:lumMod val="80000"/>
            </a:schemeClr>
          </a:solidFill>
          <a:ln/>
          <a:effectLst/>
          <a:sp3d/>
        </c:spPr>
        <c:marker>
          <c:symbol val="none"/>
        </c:marker>
      </c:pivotFmt>
      <c:pivotFmt>
        <c:idx val="120"/>
        <c:spPr>
          <a:solidFill>
            <a:schemeClr val="accent1">
              <a:lumMod val="60000"/>
              <a:lumOff val="40000"/>
            </a:schemeClr>
          </a:solidFill>
          <a:ln/>
          <a:effectLst/>
          <a:sp3d/>
        </c:spPr>
        <c:marker>
          <c:symbol val="none"/>
        </c:marker>
      </c:pivotFmt>
      <c:pivotFmt>
        <c:idx val="121"/>
        <c:spPr>
          <a:solidFill>
            <a:schemeClr val="accent2">
              <a:lumMod val="60000"/>
              <a:lumOff val="40000"/>
            </a:schemeClr>
          </a:solidFill>
          <a:ln/>
          <a:effectLst/>
          <a:sp3d/>
        </c:spPr>
        <c:marker>
          <c:symbol val="none"/>
        </c:marker>
      </c:pivotFmt>
      <c:pivotFmt>
        <c:idx val="122"/>
        <c:spPr>
          <a:solidFill>
            <a:schemeClr val="accent3">
              <a:lumMod val="60000"/>
              <a:lumOff val="40000"/>
            </a:schemeClr>
          </a:solidFill>
          <a:ln/>
          <a:effectLst/>
          <a:sp3d/>
        </c:spPr>
        <c:marker>
          <c:symbol val="none"/>
        </c:marker>
      </c:pivotFmt>
      <c:pivotFmt>
        <c:idx val="123"/>
        <c:spPr>
          <a:solidFill>
            <a:schemeClr val="accent4">
              <a:lumMod val="60000"/>
              <a:lumOff val="40000"/>
            </a:schemeClr>
          </a:solidFill>
          <a:ln/>
          <a:effectLst/>
          <a:sp3d/>
        </c:spPr>
        <c:marker>
          <c:symbol val="none"/>
        </c:marker>
      </c:pivotFmt>
      <c:pivotFmt>
        <c:idx val="124"/>
        <c:spPr>
          <a:solidFill>
            <a:schemeClr val="accent5">
              <a:lumMod val="60000"/>
              <a:lumOff val="40000"/>
            </a:schemeClr>
          </a:solidFill>
          <a:ln/>
          <a:effectLst/>
          <a:sp3d/>
        </c:spPr>
        <c:marker>
          <c:symbol val="none"/>
        </c:marker>
      </c:pivotFmt>
      <c:pivotFmt>
        <c:idx val="125"/>
        <c:spPr>
          <a:solidFill>
            <a:schemeClr val="accent6">
              <a:lumMod val="60000"/>
              <a:lumOff val="40000"/>
            </a:schemeClr>
          </a:solidFill>
          <a:ln/>
          <a:effectLst/>
          <a:sp3d/>
        </c:spPr>
        <c:marker>
          <c:symbol val="none"/>
        </c:marker>
      </c:pivotFmt>
      <c:pivotFmt>
        <c:idx val="126"/>
        <c:spPr>
          <a:solidFill>
            <a:schemeClr val="accent1">
              <a:lumMod val="50000"/>
            </a:schemeClr>
          </a:solidFill>
          <a:ln/>
          <a:effectLst/>
          <a:sp3d/>
        </c:spPr>
        <c:marker>
          <c:symbol val="none"/>
        </c:marker>
      </c:pivotFmt>
      <c:pivotFmt>
        <c:idx val="127"/>
        <c:spPr>
          <a:solidFill>
            <a:schemeClr val="accent2">
              <a:lumMod val="50000"/>
            </a:schemeClr>
          </a:solidFill>
          <a:ln/>
          <a:effectLst/>
          <a:sp3d/>
        </c:spPr>
        <c:marker>
          <c:symbol val="none"/>
        </c:marker>
      </c:pivotFmt>
      <c:pivotFmt>
        <c:idx val="128"/>
        <c:spPr>
          <a:solidFill>
            <a:schemeClr val="accent3">
              <a:lumMod val="50000"/>
            </a:schemeClr>
          </a:solidFill>
          <a:ln/>
          <a:effectLst/>
          <a:sp3d/>
        </c:spPr>
        <c:marker>
          <c:symbol val="none"/>
        </c:marker>
      </c:pivotFmt>
      <c:pivotFmt>
        <c:idx val="129"/>
        <c:spPr>
          <a:solidFill>
            <a:schemeClr val="accent4">
              <a:lumMod val="50000"/>
            </a:schemeClr>
          </a:solidFill>
          <a:ln/>
          <a:effectLst/>
          <a:sp3d/>
        </c:spPr>
        <c:marker>
          <c:symbol val="none"/>
        </c:marker>
      </c:pivotFmt>
      <c:pivotFmt>
        <c:idx val="130"/>
        <c:spPr>
          <a:solidFill>
            <a:schemeClr val="accent5">
              <a:lumMod val="50000"/>
            </a:schemeClr>
          </a:solidFill>
          <a:ln/>
          <a:effectLst/>
          <a:sp3d/>
        </c:spPr>
        <c:marker>
          <c:symbol val="none"/>
        </c:marker>
      </c:pivotFmt>
      <c:pivotFmt>
        <c:idx val="131"/>
        <c:spPr>
          <a:solidFill>
            <a:schemeClr val="accent6">
              <a:lumMod val="50000"/>
            </a:schemeClr>
          </a:solidFill>
          <a:ln/>
          <a:effectLst/>
          <a:sp3d/>
        </c:spPr>
        <c:marker>
          <c:symbol val="none"/>
        </c:marker>
      </c:pivotFmt>
      <c:pivotFmt>
        <c:idx val="132"/>
        <c:spPr>
          <a:solidFill>
            <a:schemeClr val="accent1">
              <a:lumMod val="70000"/>
              <a:lumOff val="30000"/>
            </a:schemeClr>
          </a:solidFill>
          <a:ln/>
          <a:effectLst/>
          <a:sp3d/>
        </c:spPr>
        <c:marker>
          <c:symbol val="none"/>
        </c:marker>
      </c:pivotFmt>
      <c:pivotFmt>
        <c:idx val="133"/>
        <c:spPr>
          <a:solidFill>
            <a:schemeClr val="accent2">
              <a:lumMod val="70000"/>
              <a:lumOff val="30000"/>
            </a:schemeClr>
          </a:solidFill>
          <a:ln/>
          <a:effectLst/>
          <a:sp3d/>
        </c:spPr>
        <c:marker>
          <c:symbol val="none"/>
        </c:marker>
      </c:pivotFmt>
      <c:pivotFmt>
        <c:idx val="134"/>
        <c:spPr>
          <a:solidFill>
            <a:schemeClr val="accent3">
              <a:lumMod val="70000"/>
              <a:lumOff val="30000"/>
            </a:schemeClr>
          </a:solidFill>
          <a:ln/>
          <a:effectLst/>
          <a:sp3d/>
        </c:spPr>
        <c:marker>
          <c:symbol val="none"/>
        </c:marker>
      </c:pivotFmt>
      <c:pivotFmt>
        <c:idx val="135"/>
        <c:spPr>
          <a:solidFill>
            <a:schemeClr val="accent4">
              <a:lumMod val="70000"/>
              <a:lumOff val="30000"/>
            </a:schemeClr>
          </a:solidFill>
          <a:ln/>
          <a:effectLst/>
          <a:sp3d/>
        </c:spPr>
        <c:marker>
          <c:symbol val="none"/>
        </c:marker>
      </c:pivotFmt>
    </c:pivotFmts>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tx>
            <c:strRef>
              <c:f>'Max drawdown &amp; long'!$G$1:$G$2</c:f>
              <c:strCache>
                <c:ptCount val="1"/>
                <c:pt idx="0">
                  <c:v>1</c:v>
                </c:pt>
              </c:strCache>
            </c:strRef>
          </c:tx>
          <c:spPr>
            <a:solidFill>
              <a:schemeClr val="accent1"/>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long'!$G$3:$G$11</c:f>
              <c:numCache>
                <c:formatCode>General</c:formatCode>
                <c:ptCount val="8"/>
                <c:pt idx="0">
                  <c:v>0</c:v>
                </c:pt>
                <c:pt idx="1">
                  <c:v>-3425</c:v>
                </c:pt>
                <c:pt idx="2">
                  <c:v>-27735</c:v>
                </c:pt>
                <c:pt idx="3">
                  <c:v>-14045</c:v>
                </c:pt>
                <c:pt idx="4">
                  <c:v>-19775</c:v>
                </c:pt>
                <c:pt idx="5">
                  <c:v>-27120</c:v>
                </c:pt>
                <c:pt idx="6">
                  <c:v>-38180</c:v>
                </c:pt>
                <c:pt idx="7">
                  <c:v>-31480</c:v>
                </c:pt>
              </c:numCache>
            </c:numRef>
          </c:val>
          <c:extLst>
            <c:ext xmlns:c16="http://schemas.microsoft.com/office/drawing/2014/chart" uri="{C3380CC4-5D6E-409C-BE32-E72D297353CC}">
              <c16:uniqueId val="{00000000-8F95-4C23-9FCB-E085BF8BB815}"/>
            </c:ext>
          </c:extLst>
        </c:ser>
        <c:ser>
          <c:idx val="1"/>
          <c:order val="1"/>
          <c:tx>
            <c:strRef>
              <c:f>'Max drawdown &amp; long'!$H$1:$H$2</c:f>
              <c:strCache>
                <c:ptCount val="1"/>
                <c:pt idx="0">
                  <c:v>2</c:v>
                </c:pt>
              </c:strCache>
            </c:strRef>
          </c:tx>
          <c:spPr>
            <a:solidFill>
              <a:schemeClr val="accent2"/>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long'!$H$3:$H$11</c:f>
              <c:numCache>
                <c:formatCode>General</c:formatCode>
                <c:ptCount val="8"/>
                <c:pt idx="0">
                  <c:v>0</c:v>
                </c:pt>
                <c:pt idx="1">
                  <c:v>-2745</c:v>
                </c:pt>
                <c:pt idx="2">
                  <c:v>-35335</c:v>
                </c:pt>
                <c:pt idx="3">
                  <c:v>-13565</c:v>
                </c:pt>
                <c:pt idx="4">
                  <c:v>-18165</c:v>
                </c:pt>
                <c:pt idx="5">
                  <c:v>-33545</c:v>
                </c:pt>
                <c:pt idx="6">
                  <c:v>-29875</c:v>
                </c:pt>
                <c:pt idx="7">
                  <c:v>-36085</c:v>
                </c:pt>
              </c:numCache>
            </c:numRef>
          </c:val>
          <c:extLst>
            <c:ext xmlns:c16="http://schemas.microsoft.com/office/drawing/2014/chart" uri="{C3380CC4-5D6E-409C-BE32-E72D297353CC}">
              <c16:uniqueId val="{00000001-8F95-4C23-9FCB-E085BF8BB815}"/>
            </c:ext>
          </c:extLst>
        </c:ser>
        <c:ser>
          <c:idx val="2"/>
          <c:order val="2"/>
          <c:tx>
            <c:strRef>
              <c:f>'Max drawdown &amp; long'!$I$1:$I$2</c:f>
              <c:strCache>
                <c:ptCount val="1"/>
                <c:pt idx="0">
                  <c:v>3</c:v>
                </c:pt>
              </c:strCache>
            </c:strRef>
          </c:tx>
          <c:spPr>
            <a:solidFill>
              <a:schemeClr val="accent3"/>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long'!$I$3:$I$11</c:f>
              <c:numCache>
                <c:formatCode>General</c:formatCode>
                <c:ptCount val="8"/>
                <c:pt idx="0">
                  <c:v>0</c:v>
                </c:pt>
                <c:pt idx="1">
                  <c:v>-3425</c:v>
                </c:pt>
                <c:pt idx="2">
                  <c:v>-35485</c:v>
                </c:pt>
                <c:pt idx="3">
                  <c:v>-16945</c:v>
                </c:pt>
                <c:pt idx="4">
                  <c:v>-20755</c:v>
                </c:pt>
                <c:pt idx="5">
                  <c:v>-20950</c:v>
                </c:pt>
                <c:pt idx="6">
                  <c:v>-22325</c:v>
                </c:pt>
                <c:pt idx="7">
                  <c:v>-26475</c:v>
                </c:pt>
              </c:numCache>
            </c:numRef>
          </c:val>
          <c:extLst>
            <c:ext xmlns:c16="http://schemas.microsoft.com/office/drawing/2014/chart" uri="{C3380CC4-5D6E-409C-BE32-E72D297353CC}">
              <c16:uniqueId val="{00000002-8F95-4C23-9FCB-E085BF8BB815}"/>
            </c:ext>
          </c:extLst>
        </c:ser>
        <c:ser>
          <c:idx val="3"/>
          <c:order val="3"/>
          <c:tx>
            <c:strRef>
              <c:f>'Max drawdown &amp; long'!$J$1:$J$2</c:f>
              <c:strCache>
                <c:ptCount val="1"/>
                <c:pt idx="0">
                  <c:v>4</c:v>
                </c:pt>
              </c:strCache>
            </c:strRef>
          </c:tx>
          <c:spPr>
            <a:solidFill>
              <a:schemeClr val="accent4"/>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long'!$J$3:$J$11</c:f>
              <c:numCache>
                <c:formatCode>General</c:formatCode>
                <c:ptCount val="8"/>
                <c:pt idx="0">
                  <c:v>0</c:v>
                </c:pt>
                <c:pt idx="1">
                  <c:v>-5155</c:v>
                </c:pt>
                <c:pt idx="2">
                  <c:v>-28995</c:v>
                </c:pt>
                <c:pt idx="3">
                  <c:v>-19145</c:v>
                </c:pt>
                <c:pt idx="4">
                  <c:v>-19405</c:v>
                </c:pt>
                <c:pt idx="5">
                  <c:v>-19225</c:v>
                </c:pt>
                <c:pt idx="6">
                  <c:v>-20980</c:v>
                </c:pt>
                <c:pt idx="7">
                  <c:v>-29675</c:v>
                </c:pt>
              </c:numCache>
            </c:numRef>
          </c:val>
          <c:extLst>
            <c:ext xmlns:c16="http://schemas.microsoft.com/office/drawing/2014/chart" uri="{C3380CC4-5D6E-409C-BE32-E72D297353CC}">
              <c16:uniqueId val="{00000003-8F95-4C23-9FCB-E085BF8BB815}"/>
            </c:ext>
          </c:extLst>
        </c:ser>
        <c:ser>
          <c:idx val="4"/>
          <c:order val="4"/>
          <c:tx>
            <c:strRef>
              <c:f>'Max drawdown &amp; long'!$K$1:$K$2</c:f>
              <c:strCache>
                <c:ptCount val="1"/>
                <c:pt idx="0">
                  <c:v>5</c:v>
                </c:pt>
              </c:strCache>
            </c:strRef>
          </c:tx>
          <c:spPr>
            <a:solidFill>
              <a:schemeClr val="accent5"/>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long'!$K$3:$K$11</c:f>
              <c:numCache>
                <c:formatCode>General</c:formatCode>
                <c:ptCount val="8"/>
                <c:pt idx="0">
                  <c:v>0</c:v>
                </c:pt>
                <c:pt idx="1">
                  <c:v>-5005</c:v>
                </c:pt>
                <c:pt idx="2">
                  <c:v>-47725</c:v>
                </c:pt>
                <c:pt idx="3">
                  <c:v>-17575</c:v>
                </c:pt>
                <c:pt idx="4">
                  <c:v>-18805</c:v>
                </c:pt>
                <c:pt idx="5">
                  <c:v>-27295</c:v>
                </c:pt>
                <c:pt idx="6">
                  <c:v>-29435</c:v>
                </c:pt>
                <c:pt idx="7">
                  <c:v>-22035</c:v>
                </c:pt>
              </c:numCache>
            </c:numRef>
          </c:val>
          <c:extLst>
            <c:ext xmlns:c16="http://schemas.microsoft.com/office/drawing/2014/chart" uri="{C3380CC4-5D6E-409C-BE32-E72D297353CC}">
              <c16:uniqueId val="{00000004-8F95-4C23-9FCB-E085BF8BB815}"/>
            </c:ext>
          </c:extLst>
        </c:ser>
        <c:ser>
          <c:idx val="5"/>
          <c:order val="5"/>
          <c:tx>
            <c:strRef>
              <c:f>'Max drawdown &amp; long'!$L$1:$L$2</c:f>
              <c:strCache>
                <c:ptCount val="1"/>
                <c:pt idx="0">
                  <c:v>6</c:v>
                </c:pt>
              </c:strCache>
            </c:strRef>
          </c:tx>
          <c:spPr>
            <a:solidFill>
              <a:schemeClr val="accent6"/>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long'!$L$3:$L$11</c:f>
              <c:numCache>
                <c:formatCode>General</c:formatCode>
                <c:ptCount val="8"/>
                <c:pt idx="0">
                  <c:v>0</c:v>
                </c:pt>
                <c:pt idx="1">
                  <c:v>-3985</c:v>
                </c:pt>
                <c:pt idx="2">
                  <c:v>-41095</c:v>
                </c:pt>
                <c:pt idx="3">
                  <c:v>-20985</c:v>
                </c:pt>
                <c:pt idx="4">
                  <c:v>-18265</c:v>
                </c:pt>
                <c:pt idx="5">
                  <c:v>-23215</c:v>
                </c:pt>
                <c:pt idx="6">
                  <c:v>-25385</c:v>
                </c:pt>
                <c:pt idx="7">
                  <c:v>-21205</c:v>
                </c:pt>
              </c:numCache>
            </c:numRef>
          </c:val>
          <c:extLst>
            <c:ext xmlns:c16="http://schemas.microsoft.com/office/drawing/2014/chart" uri="{C3380CC4-5D6E-409C-BE32-E72D297353CC}">
              <c16:uniqueId val="{00000005-8F95-4C23-9FCB-E085BF8BB815}"/>
            </c:ext>
          </c:extLst>
        </c:ser>
        <c:ser>
          <c:idx val="6"/>
          <c:order val="6"/>
          <c:tx>
            <c:strRef>
              <c:f>'Max drawdown &amp; long'!$M$1:$M$2</c:f>
              <c:strCache>
                <c:ptCount val="1"/>
                <c:pt idx="0">
                  <c:v>7</c:v>
                </c:pt>
              </c:strCache>
            </c:strRef>
          </c:tx>
          <c:spPr>
            <a:solidFill>
              <a:schemeClr val="accent1">
                <a:lumMod val="6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long'!$M$3:$M$11</c:f>
              <c:numCache>
                <c:formatCode>General</c:formatCode>
                <c:ptCount val="8"/>
                <c:pt idx="0">
                  <c:v>0</c:v>
                </c:pt>
                <c:pt idx="1">
                  <c:v>-3395</c:v>
                </c:pt>
                <c:pt idx="2">
                  <c:v>-41685</c:v>
                </c:pt>
                <c:pt idx="3">
                  <c:v>-22145</c:v>
                </c:pt>
                <c:pt idx="4">
                  <c:v>-19675</c:v>
                </c:pt>
                <c:pt idx="5">
                  <c:v>-18875</c:v>
                </c:pt>
                <c:pt idx="6">
                  <c:v>-20155</c:v>
                </c:pt>
                <c:pt idx="7">
                  <c:v>-21225</c:v>
                </c:pt>
              </c:numCache>
            </c:numRef>
          </c:val>
          <c:extLst>
            <c:ext xmlns:c16="http://schemas.microsoft.com/office/drawing/2014/chart" uri="{C3380CC4-5D6E-409C-BE32-E72D297353CC}">
              <c16:uniqueId val="{00000006-8F95-4C23-9FCB-E085BF8BB815}"/>
            </c:ext>
          </c:extLst>
        </c:ser>
        <c:ser>
          <c:idx val="7"/>
          <c:order val="7"/>
          <c:tx>
            <c:strRef>
              <c:f>'Max drawdown &amp; long'!$N$1:$N$2</c:f>
              <c:strCache>
                <c:ptCount val="1"/>
                <c:pt idx="0">
                  <c:v>8</c:v>
                </c:pt>
              </c:strCache>
            </c:strRef>
          </c:tx>
          <c:spPr>
            <a:solidFill>
              <a:schemeClr val="accent2">
                <a:lumMod val="6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long'!$N$3:$N$11</c:f>
              <c:numCache>
                <c:formatCode>General</c:formatCode>
                <c:ptCount val="8"/>
                <c:pt idx="0">
                  <c:v>0</c:v>
                </c:pt>
                <c:pt idx="1">
                  <c:v>-5735</c:v>
                </c:pt>
                <c:pt idx="2">
                  <c:v>-30685</c:v>
                </c:pt>
                <c:pt idx="3">
                  <c:v>-19865</c:v>
                </c:pt>
                <c:pt idx="4">
                  <c:v>-26855</c:v>
                </c:pt>
                <c:pt idx="5">
                  <c:v>-22685</c:v>
                </c:pt>
                <c:pt idx="6">
                  <c:v>-22685</c:v>
                </c:pt>
                <c:pt idx="7">
                  <c:v>-21165</c:v>
                </c:pt>
              </c:numCache>
            </c:numRef>
          </c:val>
          <c:extLst>
            <c:ext xmlns:c16="http://schemas.microsoft.com/office/drawing/2014/chart" uri="{C3380CC4-5D6E-409C-BE32-E72D297353CC}">
              <c16:uniqueId val="{00000007-8F95-4C23-9FCB-E085BF8BB815}"/>
            </c:ext>
          </c:extLst>
        </c:ser>
        <c:ser>
          <c:idx val="8"/>
          <c:order val="8"/>
          <c:tx>
            <c:strRef>
              <c:f>'Max drawdown &amp; long'!$O$1:$O$2</c:f>
              <c:strCache>
                <c:ptCount val="1"/>
                <c:pt idx="0">
                  <c:v>9</c:v>
                </c:pt>
              </c:strCache>
            </c:strRef>
          </c:tx>
          <c:spPr>
            <a:solidFill>
              <a:schemeClr val="accent3">
                <a:lumMod val="6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long'!$O$3:$O$11</c:f>
              <c:numCache>
                <c:formatCode>General</c:formatCode>
                <c:ptCount val="8"/>
                <c:pt idx="0">
                  <c:v>0</c:v>
                </c:pt>
                <c:pt idx="1">
                  <c:v>-5735</c:v>
                </c:pt>
                <c:pt idx="2">
                  <c:v>-30345</c:v>
                </c:pt>
                <c:pt idx="3">
                  <c:v>-21645</c:v>
                </c:pt>
                <c:pt idx="4">
                  <c:v>-21645</c:v>
                </c:pt>
                <c:pt idx="5">
                  <c:v>-22085</c:v>
                </c:pt>
                <c:pt idx="6">
                  <c:v>-21065</c:v>
                </c:pt>
                <c:pt idx="7">
                  <c:v>-21065</c:v>
                </c:pt>
              </c:numCache>
            </c:numRef>
          </c:val>
          <c:extLst>
            <c:ext xmlns:c16="http://schemas.microsoft.com/office/drawing/2014/chart" uri="{C3380CC4-5D6E-409C-BE32-E72D297353CC}">
              <c16:uniqueId val="{00000008-8F95-4C23-9FCB-E085BF8BB815}"/>
            </c:ext>
          </c:extLst>
        </c:ser>
        <c:ser>
          <c:idx val="9"/>
          <c:order val="9"/>
          <c:tx>
            <c:strRef>
              <c:f>'Max drawdown &amp; long'!$P$1:$P$2</c:f>
              <c:strCache>
                <c:ptCount val="1"/>
                <c:pt idx="0">
                  <c:v>10</c:v>
                </c:pt>
              </c:strCache>
            </c:strRef>
          </c:tx>
          <c:spPr>
            <a:solidFill>
              <a:schemeClr val="accent4">
                <a:lumMod val="6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long'!$P$3:$P$11</c:f>
              <c:numCache>
                <c:formatCode>General</c:formatCode>
                <c:ptCount val="8"/>
                <c:pt idx="0">
                  <c:v>0</c:v>
                </c:pt>
                <c:pt idx="1">
                  <c:v>-3965</c:v>
                </c:pt>
                <c:pt idx="2">
                  <c:v>-30345</c:v>
                </c:pt>
                <c:pt idx="3">
                  <c:v>-19845</c:v>
                </c:pt>
                <c:pt idx="4">
                  <c:v>-20855</c:v>
                </c:pt>
                <c:pt idx="5">
                  <c:v>-21685</c:v>
                </c:pt>
                <c:pt idx="6">
                  <c:v>-24445</c:v>
                </c:pt>
                <c:pt idx="7">
                  <c:v>-21065</c:v>
                </c:pt>
              </c:numCache>
            </c:numRef>
          </c:val>
          <c:extLst>
            <c:ext xmlns:c16="http://schemas.microsoft.com/office/drawing/2014/chart" uri="{C3380CC4-5D6E-409C-BE32-E72D297353CC}">
              <c16:uniqueId val="{00000009-8F95-4C23-9FCB-E085BF8BB815}"/>
            </c:ext>
          </c:extLst>
        </c:ser>
        <c:ser>
          <c:idx val="10"/>
          <c:order val="10"/>
          <c:tx>
            <c:strRef>
              <c:f>'Max drawdown &amp; long'!$Q$1:$Q$2</c:f>
              <c:strCache>
                <c:ptCount val="1"/>
                <c:pt idx="0">
                  <c:v>11</c:v>
                </c:pt>
              </c:strCache>
            </c:strRef>
          </c:tx>
          <c:spPr>
            <a:solidFill>
              <a:schemeClr val="accent5">
                <a:lumMod val="6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long'!$Q$3:$Q$11</c:f>
              <c:numCache>
                <c:formatCode>General</c:formatCode>
                <c:ptCount val="8"/>
                <c:pt idx="0">
                  <c:v>0</c:v>
                </c:pt>
                <c:pt idx="1">
                  <c:v>-4625</c:v>
                </c:pt>
                <c:pt idx="2">
                  <c:v>-34375</c:v>
                </c:pt>
                <c:pt idx="3">
                  <c:v>-26015</c:v>
                </c:pt>
                <c:pt idx="4">
                  <c:v>-22385</c:v>
                </c:pt>
                <c:pt idx="5">
                  <c:v>-22825</c:v>
                </c:pt>
                <c:pt idx="6">
                  <c:v>-23545</c:v>
                </c:pt>
                <c:pt idx="7">
                  <c:v>-21065</c:v>
                </c:pt>
              </c:numCache>
            </c:numRef>
          </c:val>
          <c:extLst>
            <c:ext xmlns:c16="http://schemas.microsoft.com/office/drawing/2014/chart" uri="{C3380CC4-5D6E-409C-BE32-E72D297353CC}">
              <c16:uniqueId val="{0000000A-8F95-4C23-9FCB-E085BF8BB815}"/>
            </c:ext>
          </c:extLst>
        </c:ser>
        <c:ser>
          <c:idx val="11"/>
          <c:order val="11"/>
          <c:tx>
            <c:strRef>
              <c:f>'Max drawdown &amp; long'!$R$1:$R$2</c:f>
              <c:strCache>
                <c:ptCount val="1"/>
                <c:pt idx="0">
                  <c:v>12</c:v>
                </c:pt>
              </c:strCache>
            </c:strRef>
          </c:tx>
          <c:spPr>
            <a:solidFill>
              <a:schemeClr val="accent6">
                <a:lumMod val="6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long'!$R$3:$R$11</c:f>
              <c:numCache>
                <c:formatCode>General</c:formatCode>
                <c:ptCount val="8"/>
                <c:pt idx="0">
                  <c:v>0</c:v>
                </c:pt>
                <c:pt idx="1">
                  <c:v>-6555</c:v>
                </c:pt>
                <c:pt idx="2">
                  <c:v>-29045</c:v>
                </c:pt>
                <c:pt idx="3">
                  <c:v>-21725</c:v>
                </c:pt>
                <c:pt idx="4">
                  <c:v>-21125</c:v>
                </c:pt>
                <c:pt idx="5">
                  <c:v>-26505</c:v>
                </c:pt>
                <c:pt idx="6">
                  <c:v>-29295</c:v>
                </c:pt>
                <c:pt idx="7">
                  <c:v>-21735</c:v>
                </c:pt>
              </c:numCache>
            </c:numRef>
          </c:val>
          <c:extLst>
            <c:ext xmlns:c16="http://schemas.microsoft.com/office/drawing/2014/chart" uri="{C3380CC4-5D6E-409C-BE32-E72D297353CC}">
              <c16:uniqueId val="{0000000B-8F95-4C23-9FCB-E085BF8BB815}"/>
            </c:ext>
          </c:extLst>
        </c:ser>
        <c:ser>
          <c:idx val="12"/>
          <c:order val="12"/>
          <c:tx>
            <c:strRef>
              <c:f>'Max drawdown &amp; long'!$S$1:$S$2</c:f>
              <c:strCache>
                <c:ptCount val="1"/>
                <c:pt idx="0">
                  <c:v>13</c:v>
                </c:pt>
              </c:strCache>
            </c:strRef>
          </c:tx>
          <c:spPr>
            <a:solidFill>
              <a:schemeClr val="accent1">
                <a:lumMod val="80000"/>
                <a:lumOff val="2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long'!$S$3:$S$11</c:f>
              <c:numCache>
                <c:formatCode>General</c:formatCode>
                <c:ptCount val="8"/>
                <c:pt idx="0">
                  <c:v>0</c:v>
                </c:pt>
                <c:pt idx="1">
                  <c:v>-7795</c:v>
                </c:pt>
                <c:pt idx="2">
                  <c:v>-30655</c:v>
                </c:pt>
                <c:pt idx="3">
                  <c:v>-22995</c:v>
                </c:pt>
                <c:pt idx="4">
                  <c:v>-21905</c:v>
                </c:pt>
                <c:pt idx="5">
                  <c:v>-26715</c:v>
                </c:pt>
                <c:pt idx="6">
                  <c:v>-35135</c:v>
                </c:pt>
                <c:pt idx="7">
                  <c:v>-24245</c:v>
                </c:pt>
              </c:numCache>
            </c:numRef>
          </c:val>
          <c:extLst>
            <c:ext xmlns:c16="http://schemas.microsoft.com/office/drawing/2014/chart" uri="{C3380CC4-5D6E-409C-BE32-E72D297353CC}">
              <c16:uniqueId val="{0000000C-8F95-4C23-9FCB-E085BF8BB815}"/>
            </c:ext>
          </c:extLst>
        </c:ser>
        <c:ser>
          <c:idx val="13"/>
          <c:order val="13"/>
          <c:tx>
            <c:strRef>
              <c:f>'Max drawdown &amp; long'!$T$1:$T$2</c:f>
              <c:strCache>
                <c:ptCount val="1"/>
                <c:pt idx="0">
                  <c:v>14</c:v>
                </c:pt>
              </c:strCache>
            </c:strRef>
          </c:tx>
          <c:spPr>
            <a:solidFill>
              <a:schemeClr val="accent2">
                <a:lumMod val="80000"/>
                <a:lumOff val="2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long'!$T$3:$T$11</c:f>
              <c:numCache>
                <c:formatCode>General</c:formatCode>
                <c:ptCount val="8"/>
                <c:pt idx="0">
                  <c:v>0</c:v>
                </c:pt>
                <c:pt idx="1">
                  <c:v>-8155</c:v>
                </c:pt>
                <c:pt idx="2">
                  <c:v>-34535</c:v>
                </c:pt>
                <c:pt idx="3">
                  <c:v>-23205</c:v>
                </c:pt>
                <c:pt idx="4">
                  <c:v>-25395</c:v>
                </c:pt>
                <c:pt idx="5">
                  <c:v>-31555</c:v>
                </c:pt>
                <c:pt idx="6">
                  <c:v>-34245</c:v>
                </c:pt>
                <c:pt idx="7">
                  <c:v>-28985</c:v>
                </c:pt>
              </c:numCache>
            </c:numRef>
          </c:val>
          <c:extLst>
            <c:ext xmlns:c16="http://schemas.microsoft.com/office/drawing/2014/chart" uri="{C3380CC4-5D6E-409C-BE32-E72D297353CC}">
              <c16:uniqueId val="{0000000D-8F95-4C23-9FCB-E085BF8BB815}"/>
            </c:ext>
          </c:extLst>
        </c:ser>
        <c:ser>
          <c:idx val="14"/>
          <c:order val="14"/>
          <c:tx>
            <c:strRef>
              <c:f>'Max drawdown &amp; long'!$U$1:$U$2</c:f>
              <c:strCache>
                <c:ptCount val="1"/>
                <c:pt idx="0">
                  <c:v>15</c:v>
                </c:pt>
              </c:strCache>
            </c:strRef>
          </c:tx>
          <c:spPr>
            <a:solidFill>
              <a:schemeClr val="accent3">
                <a:lumMod val="80000"/>
                <a:lumOff val="2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long'!$U$3:$U$11</c:f>
              <c:numCache>
                <c:formatCode>General</c:formatCode>
                <c:ptCount val="8"/>
                <c:pt idx="0">
                  <c:v>0</c:v>
                </c:pt>
                <c:pt idx="1">
                  <c:v>-10485</c:v>
                </c:pt>
                <c:pt idx="2">
                  <c:v>-28685</c:v>
                </c:pt>
                <c:pt idx="3">
                  <c:v>-23515</c:v>
                </c:pt>
                <c:pt idx="4">
                  <c:v>-29395</c:v>
                </c:pt>
                <c:pt idx="5">
                  <c:v>-37055</c:v>
                </c:pt>
                <c:pt idx="6">
                  <c:v>-31855</c:v>
                </c:pt>
                <c:pt idx="7">
                  <c:v>-24715</c:v>
                </c:pt>
              </c:numCache>
            </c:numRef>
          </c:val>
          <c:extLst>
            <c:ext xmlns:c16="http://schemas.microsoft.com/office/drawing/2014/chart" uri="{C3380CC4-5D6E-409C-BE32-E72D297353CC}">
              <c16:uniqueId val="{0000000E-8F95-4C23-9FCB-E085BF8BB815}"/>
            </c:ext>
          </c:extLst>
        </c:ser>
        <c:ser>
          <c:idx val="15"/>
          <c:order val="15"/>
          <c:tx>
            <c:strRef>
              <c:f>'Max drawdown &amp; long'!$V$1:$V$2</c:f>
              <c:strCache>
                <c:ptCount val="1"/>
                <c:pt idx="0">
                  <c:v>16</c:v>
                </c:pt>
              </c:strCache>
            </c:strRef>
          </c:tx>
          <c:spPr>
            <a:solidFill>
              <a:schemeClr val="accent4">
                <a:lumMod val="80000"/>
                <a:lumOff val="2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long'!$V$3:$V$11</c:f>
              <c:numCache>
                <c:formatCode>General</c:formatCode>
                <c:ptCount val="8"/>
                <c:pt idx="0">
                  <c:v>0</c:v>
                </c:pt>
                <c:pt idx="1">
                  <c:v>-7785</c:v>
                </c:pt>
                <c:pt idx="2">
                  <c:v>-30845</c:v>
                </c:pt>
                <c:pt idx="3">
                  <c:v>-25135</c:v>
                </c:pt>
                <c:pt idx="4">
                  <c:v>-29815</c:v>
                </c:pt>
                <c:pt idx="5">
                  <c:v>-33635</c:v>
                </c:pt>
                <c:pt idx="6">
                  <c:v>-31855</c:v>
                </c:pt>
                <c:pt idx="7">
                  <c:v>-25285</c:v>
                </c:pt>
              </c:numCache>
            </c:numRef>
          </c:val>
          <c:extLst>
            <c:ext xmlns:c16="http://schemas.microsoft.com/office/drawing/2014/chart" uri="{C3380CC4-5D6E-409C-BE32-E72D297353CC}">
              <c16:uniqueId val="{0000000F-8F95-4C23-9FCB-E085BF8BB815}"/>
            </c:ext>
          </c:extLst>
        </c:ser>
        <c:ser>
          <c:idx val="16"/>
          <c:order val="16"/>
          <c:tx>
            <c:strRef>
              <c:f>'Max drawdown &amp; long'!$W$1:$W$2</c:f>
              <c:strCache>
                <c:ptCount val="1"/>
                <c:pt idx="0">
                  <c:v>17</c:v>
                </c:pt>
              </c:strCache>
            </c:strRef>
          </c:tx>
          <c:spPr>
            <a:solidFill>
              <a:schemeClr val="accent5">
                <a:lumMod val="80000"/>
                <a:lumOff val="2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long'!$W$3:$W$11</c:f>
              <c:numCache>
                <c:formatCode>General</c:formatCode>
                <c:ptCount val="8"/>
                <c:pt idx="0">
                  <c:v>0</c:v>
                </c:pt>
                <c:pt idx="1">
                  <c:v>-8405</c:v>
                </c:pt>
                <c:pt idx="2">
                  <c:v>-23085</c:v>
                </c:pt>
                <c:pt idx="3">
                  <c:v>-25125</c:v>
                </c:pt>
                <c:pt idx="4">
                  <c:v>-24755</c:v>
                </c:pt>
                <c:pt idx="5">
                  <c:v>-23835</c:v>
                </c:pt>
                <c:pt idx="6">
                  <c:v>-31855</c:v>
                </c:pt>
                <c:pt idx="7">
                  <c:v>-29135</c:v>
                </c:pt>
              </c:numCache>
            </c:numRef>
          </c:val>
          <c:extLst>
            <c:ext xmlns:c16="http://schemas.microsoft.com/office/drawing/2014/chart" uri="{C3380CC4-5D6E-409C-BE32-E72D297353CC}">
              <c16:uniqueId val="{00000010-8F95-4C23-9FCB-E085BF8BB815}"/>
            </c:ext>
          </c:extLst>
        </c:ser>
        <c:ser>
          <c:idx val="17"/>
          <c:order val="17"/>
          <c:tx>
            <c:strRef>
              <c:f>'Max drawdown &amp; long'!$X$1:$X$2</c:f>
              <c:strCache>
                <c:ptCount val="1"/>
                <c:pt idx="0">
                  <c:v>18</c:v>
                </c:pt>
              </c:strCache>
            </c:strRef>
          </c:tx>
          <c:spPr>
            <a:solidFill>
              <a:schemeClr val="accent6">
                <a:lumMod val="80000"/>
                <a:lumOff val="2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long'!$X$3:$X$11</c:f>
              <c:numCache>
                <c:formatCode>General</c:formatCode>
                <c:ptCount val="8"/>
                <c:pt idx="0">
                  <c:v>0</c:v>
                </c:pt>
                <c:pt idx="1">
                  <c:v>-10955</c:v>
                </c:pt>
                <c:pt idx="2">
                  <c:v>-28595</c:v>
                </c:pt>
                <c:pt idx="3">
                  <c:v>-29765</c:v>
                </c:pt>
                <c:pt idx="4">
                  <c:v>-27555</c:v>
                </c:pt>
                <c:pt idx="5">
                  <c:v>-24605</c:v>
                </c:pt>
                <c:pt idx="6">
                  <c:v>-26375</c:v>
                </c:pt>
                <c:pt idx="7">
                  <c:v>-30035</c:v>
                </c:pt>
              </c:numCache>
            </c:numRef>
          </c:val>
          <c:extLst>
            <c:ext xmlns:c16="http://schemas.microsoft.com/office/drawing/2014/chart" uri="{C3380CC4-5D6E-409C-BE32-E72D297353CC}">
              <c16:uniqueId val="{00000011-8F95-4C23-9FCB-E085BF8BB815}"/>
            </c:ext>
          </c:extLst>
        </c:ser>
        <c:ser>
          <c:idx val="18"/>
          <c:order val="18"/>
          <c:tx>
            <c:strRef>
              <c:f>'Max drawdown &amp; long'!$Y$1:$Y$2</c:f>
              <c:strCache>
                <c:ptCount val="1"/>
                <c:pt idx="0">
                  <c:v>19</c:v>
                </c:pt>
              </c:strCache>
            </c:strRef>
          </c:tx>
          <c:spPr>
            <a:solidFill>
              <a:schemeClr val="accent1">
                <a:lumMod val="8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long'!$Y$3:$Y$11</c:f>
              <c:numCache>
                <c:formatCode>General</c:formatCode>
                <c:ptCount val="8"/>
                <c:pt idx="0">
                  <c:v>0</c:v>
                </c:pt>
                <c:pt idx="1">
                  <c:v>-15465</c:v>
                </c:pt>
                <c:pt idx="2">
                  <c:v>-25225</c:v>
                </c:pt>
                <c:pt idx="3">
                  <c:v>-30145</c:v>
                </c:pt>
                <c:pt idx="4">
                  <c:v>-29835</c:v>
                </c:pt>
                <c:pt idx="5">
                  <c:v>-27825</c:v>
                </c:pt>
                <c:pt idx="6">
                  <c:v>-25535</c:v>
                </c:pt>
                <c:pt idx="7">
                  <c:v>-24065</c:v>
                </c:pt>
              </c:numCache>
            </c:numRef>
          </c:val>
          <c:extLst>
            <c:ext xmlns:c16="http://schemas.microsoft.com/office/drawing/2014/chart" uri="{C3380CC4-5D6E-409C-BE32-E72D297353CC}">
              <c16:uniqueId val="{00000012-8F95-4C23-9FCB-E085BF8BB815}"/>
            </c:ext>
          </c:extLst>
        </c:ser>
        <c:ser>
          <c:idx val="19"/>
          <c:order val="19"/>
          <c:tx>
            <c:strRef>
              <c:f>'Max drawdown &amp; long'!$Z$1:$Z$2</c:f>
              <c:strCache>
                <c:ptCount val="1"/>
                <c:pt idx="0">
                  <c:v>20</c:v>
                </c:pt>
              </c:strCache>
            </c:strRef>
          </c:tx>
          <c:spPr>
            <a:solidFill>
              <a:schemeClr val="accent2">
                <a:lumMod val="8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long'!$Z$3:$Z$11</c:f>
              <c:numCache>
                <c:formatCode>General</c:formatCode>
                <c:ptCount val="8"/>
                <c:pt idx="0">
                  <c:v>0</c:v>
                </c:pt>
                <c:pt idx="1">
                  <c:v>-17775</c:v>
                </c:pt>
                <c:pt idx="2">
                  <c:v>-25195</c:v>
                </c:pt>
                <c:pt idx="3">
                  <c:v>-31095</c:v>
                </c:pt>
                <c:pt idx="4">
                  <c:v>-30915</c:v>
                </c:pt>
                <c:pt idx="5">
                  <c:v>-27315</c:v>
                </c:pt>
                <c:pt idx="6">
                  <c:v>-25535</c:v>
                </c:pt>
                <c:pt idx="7">
                  <c:v>-26805</c:v>
                </c:pt>
              </c:numCache>
            </c:numRef>
          </c:val>
          <c:extLst>
            <c:ext xmlns:c16="http://schemas.microsoft.com/office/drawing/2014/chart" uri="{C3380CC4-5D6E-409C-BE32-E72D297353CC}">
              <c16:uniqueId val="{00000013-8F95-4C23-9FCB-E085BF8BB815}"/>
            </c:ext>
          </c:extLst>
        </c:ser>
        <c:ser>
          <c:idx val="20"/>
          <c:order val="20"/>
          <c:tx>
            <c:strRef>
              <c:f>'Max drawdown &amp; long'!$AA$1:$AA$2</c:f>
              <c:strCache>
                <c:ptCount val="1"/>
                <c:pt idx="0">
                  <c:v>21</c:v>
                </c:pt>
              </c:strCache>
            </c:strRef>
          </c:tx>
          <c:spPr>
            <a:solidFill>
              <a:schemeClr val="accent3">
                <a:lumMod val="8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long'!$AA$3:$AA$11</c:f>
              <c:numCache>
                <c:formatCode>General</c:formatCode>
                <c:ptCount val="8"/>
                <c:pt idx="0">
                  <c:v>0</c:v>
                </c:pt>
                <c:pt idx="1">
                  <c:v>-19115</c:v>
                </c:pt>
                <c:pt idx="2">
                  <c:v>-24625</c:v>
                </c:pt>
                <c:pt idx="3">
                  <c:v>-32905</c:v>
                </c:pt>
                <c:pt idx="4">
                  <c:v>-37695</c:v>
                </c:pt>
                <c:pt idx="5">
                  <c:v>-29805</c:v>
                </c:pt>
                <c:pt idx="6">
                  <c:v>-26075</c:v>
                </c:pt>
                <c:pt idx="7">
                  <c:v>-25115</c:v>
                </c:pt>
              </c:numCache>
            </c:numRef>
          </c:val>
          <c:extLst>
            <c:ext xmlns:c16="http://schemas.microsoft.com/office/drawing/2014/chart" uri="{C3380CC4-5D6E-409C-BE32-E72D297353CC}">
              <c16:uniqueId val="{00000014-8F95-4C23-9FCB-E085BF8BB815}"/>
            </c:ext>
          </c:extLst>
        </c:ser>
        <c:ser>
          <c:idx val="21"/>
          <c:order val="21"/>
          <c:tx>
            <c:strRef>
              <c:f>'Max drawdown &amp; long'!$AB$1:$AB$2</c:f>
              <c:strCache>
                <c:ptCount val="1"/>
                <c:pt idx="0">
                  <c:v>22</c:v>
                </c:pt>
              </c:strCache>
            </c:strRef>
          </c:tx>
          <c:spPr>
            <a:solidFill>
              <a:schemeClr val="accent4">
                <a:lumMod val="8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long'!$AB$3:$AB$11</c:f>
              <c:numCache>
                <c:formatCode>General</c:formatCode>
                <c:ptCount val="8"/>
                <c:pt idx="0">
                  <c:v>0</c:v>
                </c:pt>
                <c:pt idx="1">
                  <c:v>-19465</c:v>
                </c:pt>
                <c:pt idx="2">
                  <c:v>-28325</c:v>
                </c:pt>
                <c:pt idx="3">
                  <c:v>-25545</c:v>
                </c:pt>
                <c:pt idx="4">
                  <c:v>-35405</c:v>
                </c:pt>
                <c:pt idx="5">
                  <c:v>-31645</c:v>
                </c:pt>
                <c:pt idx="6">
                  <c:v>-30475</c:v>
                </c:pt>
                <c:pt idx="7">
                  <c:v>-25065</c:v>
                </c:pt>
              </c:numCache>
            </c:numRef>
          </c:val>
          <c:extLst>
            <c:ext xmlns:c16="http://schemas.microsoft.com/office/drawing/2014/chart" uri="{C3380CC4-5D6E-409C-BE32-E72D297353CC}">
              <c16:uniqueId val="{00000015-8F95-4C23-9FCB-E085BF8BB815}"/>
            </c:ext>
          </c:extLst>
        </c:ser>
        <c:ser>
          <c:idx val="22"/>
          <c:order val="22"/>
          <c:tx>
            <c:strRef>
              <c:f>'Max drawdown &amp; long'!$AC$1:$AC$2</c:f>
              <c:strCache>
                <c:ptCount val="1"/>
                <c:pt idx="0">
                  <c:v>23</c:v>
                </c:pt>
              </c:strCache>
            </c:strRef>
          </c:tx>
          <c:spPr>
            <a:solidFill>
              <a:schemeClr val="accent5">
                <a:lumMod val="8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long'!$AC$3:$AC$11</c:f>
              <c:numCache>
                <c:formatCode>General</c:formatCode>
                <c:ptCount val="8"/>
                <c:pt idx="0">
                  <c:v>0</c:v>
                </c:pt>
                <c:pt idx="1">
                  <c:v>-19465</c:v>
                </c:pt>
                <c:pt idx="2">
                  <c:v>-28745</c:v>
                </c:pt>
                <c:pt idx="3">
                  <c:v>-25975</c:v>
                </c:pt>
                <c:pt idx="4">
                  <c:v>-31285</c:v>
                </c:pt>
                <c:pt idx="5">
                  <c:v>-29585</c:v>
                </c:pt>
                <c:pt idx="6">
                  <c:v>-30065</c:v>
                </c:pt>
                <c:pt idx="7">
                  <c:v>-27515</c:v>
                </c:pt>
              </c:numCache>
            </c:numRef>
          </c:val>
          <c:extLst>
            <c:ext xmlns:c16="http://schemas.microsoft.com/office/drawing/2014/chart" uri="{C3380CC4-5D6E-409C-BE32-E72D297353CC}">
              <c16:uniqueId val="{00000016-8F95-4C23-9FCB-E085BF8BB815}"/>
            </c:ext>
          </c:extLst>
        </c:ser>
        <c:ser>
          <c:idx val="23"/>
          <c:order val="23"/>
          <c:tx>
            <c:strRef>
              <c:f>'Max drawdown &amp; long'!$AD$1:$AD$2</c:f>
              <c:strCache>
                <c:ptCount val="1"/>
                <c:pt idx="0">
                  <c:v>24</c:v>
                </c:pt>
              </c:strCache>
            </c:strRef>
          </c:tx>
          <c:spPr>
            <a:solidFill>
              <a:schemeClr val="accent6">
                <a:lumMod val="8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long'!$AD$3:$AD$11</c:f>
              <c:numCache>
                <c:formatCode>General</c:formatCode>
                <c:ptCount val="8"/>
                <c:pt idx="0">
                  <c:v>0</c:v>
                </c:pt>
                <c:pt idx="1">
                  <c:v>-19465</c:v>
                </c:pt>
                <c:pt idx="2">
                  <c:v>-28785</c:v>
                </c:pt>
                <c:pt idx="3">
                  <c:v>-26175</c:v>
                </c:pt>
                <c:pt idx="4">
                  <c:v>-32675</c:v>
                </c:pt>
                <c:pt idx="5">
                  <c:v>-32605</c:v>
                </c:pt>
                <c:pt idx="6">
                  <c:v>-33655</c:v>
                </c:pt>
                <c:pt idx="7">
                  <c:v>-30975</c:v>
                </c:pt>
              </c:numCache>
            </c:numRef>
          </c:val>
          <c:extLst>
            <c:ext xmlns:c16="http://schemas.microsoft.com/office/drawing/2014/chart" uri="{C3380CC4-5D6E-409C-BE32-E72D297353CC}">
              <c16:uniqueId val="{00000017-8F95-4C23-9FCB-E085BF8BB815}"/>
            </c:ext>
          </c:extLst>
        </c:ser>
        <c:ser>
          <c:idx val="24"/>
          <c:order val="24"/>
          <c:tx>
            <c:strRef>
              <c:f>'Max drawdown &amp; long'!$AE$1:$AE$2</c:f>
              <c:strCache>
                <c:ptCount val="1"/>
                <c:pt idx="0">
                  <c:v>25</c:v>
                </c:pt>
              </c:strCache>
            </c:strRef>
          </c:tx>
          <c:spPr>
            <a:solidFill>
              <a:schemeClr val="accent1">
                <a:lumMod val="60000"/>
                <a:lumOff val="4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long'!$AE$3:$AE$11</c:f>
              <c:numCache>
                <c:formatCode>General</c:formatCode>
                <c:ptCount val="8"/>
                <c:pt idx="0">
                  <c:v>0</c:v>
                </c:pt>
                <c:pt idx="1">
                  <c:v>-19465</c:v>
                </c:pt>
                <c:pt idx="2">
                  <c:v>-37765</c:v>
                </c:pt>
                <c:pt idx="3">
                  <c:v>-33325</c:v>
                </c:pt>
                <c:pt idx="4">
                  <c:v>-40165</c:v>
                </c:pt>
                <c:pt idx="5">
                  <c:v>-34545</c:v>
                </c:pt>
                <c:pt idx="6">
                  <c:v>-32785</c:v>
                </c:pt>
                <c:pt idx="7">
                  <c:v>-32785</c:v>
                </c:pt>
              </c:numCache>
            </c:numRef>
          </c:val>
          <c:extLst>
            <c:ext xmlns:c16="http://schemas.microsoft.com/office/drawing/2014/chart" uri="{C3380CC4-5D6E-409C-BE32-E72D297353CC}">
              <c16:uniqueId val="{00000018-8F95-4C23-9FCB-E085BF8BB815}"/>
            </c:ext>
          </c:extLst>
        </c:ser>
        <c:ser>
          <c:idx val="25"/>
          <c:order val="25"/>
          <c:tx>
            <c:strRef>
              <c:f>'Max drawdown &amp; long'!$AF$1:$AF$2</c:f>
              <c:strCache>
                <c:ptCount val="1"/>
                <c:pt idx="0">
                  <c:v>26</c:v>
                </c:pt>
              </c:strCache>
            </c:strRef>
          </c:tx>
          <c:spPr>
            <a:solidFill>
              <a:schemeClr val="accent2">
                <a:lumMod val="60000"/>
                <a:lumOff val="4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long'!$AF$3:$AF$11</c:f>
              <c:numCache>
                <c:formatCode>General</c:formatCode>
                <c:ptCount val="8"/>
                <c:pt idx="0">
                  <c:v>0</c:v>
                </c:pt>
                <c:pt idx="1">
                  <c:v>-19465</c:v>
                </c:pt>
                <c:pt idx="2">
                  <c:v>-33285</c:v>
                </c:pt>
                <c:pt idx="3">
                  <c:v>-32295</c:v>
                </c:pt>
                <c:pt idx="4">
                  <c:v>-33285</c:v>
                </c:pt>
                <c:pt idx="5">
                  <c:v>-33285</c:v>
                </c:pt>
                <c:pt idx="6">
                  <c:v>-37165</c:v>
                </c:pt>
                <c:pt idx="7">
                  <c:v>-34615</c:v>
                </c:pt>
              </c:numCache>
            </c:numRef>
          </c:val>
          <c:extLst>
            <c:ext xmlns:c16="http://schemas.microsoft.com/office/drawing/2014/chart" uri="{C3380CC4-5D6E-409C-BE32-E72D297353CC}">
              <c16:uniqueId val="{00000019-8F95-4C23-9FCB-E085BF8BB815}"/>
            </c:ext>
          </c:extLst>
        </c:ser>
        <c:ser>
          <c:idx val="26"/>
          <c:order val="26"/>
          <c:tx>
            <c:strRef>
              <c:f>'Max drawdown &amp; long'!$AG$1:$AG$2</c:f>
              <c:strCache>
                <c:ptCount val="1"/>
                <c:pt idx="0">
                  <c:v>27</c:v>
                </c:pt>
              </c:strCache>
            </c:strRef>
          </c:tx>
          <c:spPr>
            <a:solidFill>
              <a:schemeClr val="accent3">
                <a:lumMod val="60000"/>
                <a:lumOff val="4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long'!$AG$3:$AG$11</c:f>
              <c:numCache>
                <c:formatCode>General</c:formatCode>
                <c:ptCount val="8"/>
                <c:pt idx="0">
                  <c:v>0</c:v>
                </c:pt>
                <c:pt idx="1">
                  <c:v>-19465</c:v>
                </c:pt>
                <c:pt idx="2">
                  <c:v>-34035</c:v>
                </c:pt>
                <c:pt idx="3">
                  <c:v>-29475</c:v>
                </c:pt>
                <c:pt idx="4">
                  <c:v>-33895</c:v>
                </c:pt>
                <c:pt idx="5">
                  <c:v>-29915</c:v>
                </c:pt>
                <c:pt idx="6">
                  <c:v>-36935</c:v>
                </c:pt>
                <c:pt idx="7">
                  <c:v>-34385</c:v>
                </c:pt>
              </c:numCache>
            </c:numRef>
          </c:val>
          <c:extLst>
            <c:ext xmlns:c16="http://schemas.microsoft.com/office/drawing/2014/chart" uri="{C3380CC4-5D6E-409C-BE32-E72D297353CC}">
              <c16:uniqueId val="{0000001A-8F95-4C23-9FCB-E085BF8BB815}"/>
            </c:ext>
          </c:extLst>
        </c:ser>
        <c:ser>
          <c:idx val="27"/>
          <c:order val="27"/>
          <c:tx>
            <c:strRef>
              <c:f>'Max drawdown &amp; long'!$AH$1:$AH$2</c:f>
              <c:strCache>
                <c:ptCount val="1"/>
                <c:pt idx="0">
                  <c:v>28</c:v>
                </c:pt>
              </c:strCache>
            </c:strRef>
          </c:tx>
          <c:spPr>
            <a:solidFill>
              <a:schemeClr val="accent4">
                <a:lumMod val="60000"/>
                <a:lumOff val="4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long'!$AH$3:$AH$11</c:f>
              <c:numCache>
                <c:formatCode>General</c:formatCode>
                <c:ptCount val="8"/>
                <c:pt idx="0">
                  <c:v>0</c:v>
                </c:pt>
                <c:pt idx="1">
                  <c:v>-19465</c:v>
                </c:pt>
                <c:pt idx="2">
                  <c:v>-33695</c:v>
                </c:pt>
                <c:pt idx="3">
                  <c:v>-29475</c:v>
                </c:pt>
                <c:pt idx="4">
                  <c:v>-33565</c:v>
                </c:pt>
                <c:pt idx="5">
                  <c:v>-29915</c:v>
                </c:pt>
                <c:pt idx="6">
                  <c:v>-31835</c:v>
                </c:pt>
                <c:pt idx="7">
                  <c:v>-29475</c:v>
                </c:pt>
              </c:numCache>
            </c:numRef>
          </c:val>
          <c:extLst>
            <c:ext xmlns:c16="http://schemas.microsoft.com/office/drawing/2014/chart" uri="{C3380CC4-5D6E-409C-BE32-E72D297353CC}">
              <c16:uniqueId val="{0000001B-8F95-4C23-9FCB-E085BF8BB815}"/>
            </c:ext>
          </c:extLst>
        </c:ser>
        <c:ser>
          <c:idx val="28"/>
          <c:order val="28"/>
          <c:tx>
            <c:strRef>
              <c:f>'Max drawdown &amp; long'!$AI$1:$AI$2</c:f>
              <c:strCache>
                <c:ptCount val="1"/>
                <c:pt idx="0">
                  <c:v>29</c:v>
                </c:pt>
              </c:strCache>
            </c:strRef>
          </c:tx>
          <c:spPr>
            <a:solidFill>
              <a:schemeClr val="accent5">
                <a:lumMod val="60000"/>
                <a:lumOff val="4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long'!$AI$3:$AI$11</c:f>
              <c:numCache>
                <c:formatCode>General</c:formatCode>
                <c:ptCount val="8"/>
                <c:pt idx="0">
                  <c:v>0</c:v>
                </c:pt>
                <c:pt idx="1">
                  <c:v>-19115</c:v>
                </c:pt>
                <c:pt idx="2">
                  <c:v>-33695</c:v>
                </c:pt>
                <c:pt idx="3">
                  <c:v>-29475</c:v>
                </c:pt>
                <c:pt idx="4">
                  <c:v>-33905</c:v>
                </c:pt>
                <c:pt idx="5">
                  <c:v>-29915</c:v>
                </c:pt>
                <c:pt idx="6">
                  <c:v>-32805</c:v>
                </c:pt>
                <c:pt idx="7">
                  <c:v>-29475</c:v>
                </c:pt>
              </c:numCache>
            </c:numRef>
          </c:val>
          <c:extLst>
            <c:ext xmlns:c16="http://schemas.microsoft.com/office/drawing/2014/chart" uri="{C3380CC4-5D6E-409C-BE32-E72D297353CC}">
              <c16:uniqueId val="{0000001C-8F95-4C23-9FCB-E085BF8BB815}"/>
            </c:ext>
          </c:extLst>
        </c:ser>
        <c:ser>
          <c:idx val="29"/>
          <c:order val="29"/>
          <c:tx>
            <c:strRef>
              <c:f>'Max drawdown &amp; long'!$AJ$1:$AJ$2</c:f>
              <c:strCache>
                <c:ptCount val="1"/>
                <c:pt idx="0">
                  <c:v>30</c:v>
                </c:pt>
              </c:strCache>
            </c:strRef>
          </c:tx>
          <c:spPr>
            <a:solidFill>
              <a:schemeClr val="accent6">
                <a:lumMod val="60000"/>
                <a:lumOff val="4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long'!$AJ$3:$AJ$11</c:f>
              <c:numCache>
                <c:formatCode>General</c:formatCode>
                <c:ptCount val="8"/>
                <c:pt idx="0">
                  <c:v>0</c:v>
                </c:pt>
                <c:pt idx="1">
                  <c:v>-19115</c:v>
                </c:pt>
                <c:pt idx="2">
                  <c:v>-33625</c:v>
                </c:pt>
                <c:pt idx="3">
                  <c:v>-29475</c:v>
                </c:pt>
                <c:pt idx="4">
                  <c:v>-35065</c:v>
                </c:pt>
                <c:pt idx="5">
                  <c:v>-29915</c:v>
                </c:pt>
                <c:pt idx="6">
                  <c:v>-42975</c:v>
                </c:pt>
                <c:pt idx="7">
                  <c:v>-30335</c:v>
                </c:pt>
              </c:numCache>
            </c:numRef>
          </c:val>
          <c:extLst>
            <c:ext xmlns:c16="http://schemas.microsoft.com/office/drawing/2014/chart" uri="{C3380CC4-5D6E-409C-BE32-E72D297353CC}">
              <c16:uniqueId val="{0000001D-8F95-4C23-9FCB-E085BF8BB815}"/>
            </c:ext>
          </c:extLst>
        </c:ser>
        <c:ser>
          <c:idx val="30"/>
          <c:order val="30"/>
          <c:tx>
            <c:strRef>
              <c:f>'Max drawdown &amp; long'!$AK$1:$AK$2</c:f>
              <c:strCache>
                <c:ptCount val="1"/>
                <c:pt idx="0">
                  <c:v>31</c:v>
                </c:pt>
              </c:strCache>
            </c:strRef>
          </c:tx>
          <c:spPr>
            <a:solidFill>
              <a:schemeClr val="accent1">
                <a:lumMod val="5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long'!$AK$3:$AK$11</c:f>
              <c:numCache>
                <c:formatCode>General</c:formatCode>
                <c:ptCount val="8"/>
                <c:pt idx="0">
                  <c:v>0</c:v>
                </c:pt>
                <c:pt idx="1">
                  <c:v>-19115</c:v>
                </c:pt>
                <c:pt idx="2">
                  <c:v>-35325</c:v>
                </c:pt>
                <c:pt idx="3">
                  <c:v>-29475</c:v>
                </c:pt>
                <c:pt idx="4">
                  <c:v>-35935</c:v>
                </c:pt>
                <c:pt idx="5">
                  <c:v>-29915</c:v>
                </c:pt>
                <c:pt idx="6">
                  <c:v>-33575</c:v>
                </c:pt>
                <c:pt idx="7">
                  <c:v>-29415</c:v>
                </c:pt>
              </c:numCache>
            </c:numRef>
          </c:val>
          <c:extLst>
            <c:ext xmlns:c16="http://schemas.microsoft.com/office/drawing/2014/chart" uri="{C3380CC4-5D6E-409C-BE32-E72D297353CC}">
              <c16:uniqueId val="{0000001E-8F95-4C23-9FCB-E085BF8BB815}"/>
            </c:ext>
          </c:extLst>
        </c:ser>
        <c:ser>
          <c:idx val="31"/>
          <c:order val="31"/>
          <c:tx>
            <c:strRef>
              <c:f>'Max drawdown &amp; long'!$AL$1:$AL$2</c:f>
              <c:strCache>
                <c:ptCount val="1"/>
                <c:pt idx="0">
                  <c:v>32</c:v>
                </c:pt>
              </c:strCache>
            </c:strRef>
          </c:tx>
          <c:spPr>
            <a:solidFill>
              <a:schemeClr val="accent2">
                <a:lumMod val="5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long'!$AL$3:$AL$11</c:f>
              <c:numCache>
                <c:formatCode>General</c:formatCode>
                <c:ptCount val="8"/>
                <c:pt idx="0">
                  <c:v>0</c:v>
                </c:pt>
                <c:pt idx="1">
                  <c:v>-19115</c:v>
                </c:pt>
                <c:pt idx="2">
                  <c:v>-35665</c:v>
                </c:pt>
                <c:pt idx="3">
                  <c:v>-29475</c:v>
                </c:pt>
                <c:pt idx="4">
                  <c:v>-36605</c:v>
                </c:pt>
                <c:pt idx="5">
                  <c:v>-29915</c:v>
                </c:pt>
                <c:pt idx="6">
                  <c:v>-32965</c:v>
                </c:pt>
                <c:pt idx="7">
                  <c:v>-32225</c:v>
                </c:pt>
              </c:numCache>
            </c:numRef>
          </c:val>
          <c:extLst>
            <c:ext xmlns:c16="http://schemas.microsoft.com/office/drawing/2014/chart" uri="{C3380CC4-5D6E-409C-BE32-E72D297353CC}">
              <c16:uniqueId val="{0000001F-8F95-4C23-9FCB-E085BF8BB815}"/>
            </c:ext>
          </c:extLst>
        </c:ser>
        <c:ser>
          <c:idx val="32"/>
          <c:order val="32"/>
          <c:tx>
            <c:strRef>
              <c:f>'Max drawdown &amp; long'!$AM$1:$AM$2</c:f>
              <c:strCache>
                <c:ptCount val="1"/>
                <c:pt idx="0">
                  <c:v>33</c:v>
                </c:pt>
              </c:strCache>
            </c:strRef>
          </c:tx>
          <c:spPr>
            <a:solidFill>
              <a:schemeClr val="accent3">
                <a:lumMod val="5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long'!$AM$3:$AM$11</c:f>
              <c:numCache>
                <c:formatCode>General</c:formatCode>
                <c:ptCount val="8"/>
                <c:pt idx="0">
                  <c:v>0</c:v>
                </c:pt>
                <c:pt idx="1">
                  <c:v>-19115</c:v>
                </c:pt>
                <c:pt idx="2">
                  <c:v>-37355</c:v>
                </c:pt>
                <c:pt idx="3">
                  <c:v>-29475</c:v>
                </c:pt>
                <c:pt idx="4">
                  <c:v>-36085</c:v>
                </c:pt>
                <c:pt idx="5">
                  <c:v>-29915</c:v>
                </c:pt>
                <c:pt idx="6">
                  <c:v>-32965</c:v>
                </c:pt>
                <c:pt idx="7">
                  <c:v>-31135</c:v>
                </c:pt>
              </c:numCache>
            </c:numRef>
          </c:val>
          <c:extLst>
            <c:ext xmlns:c16="http://schemas.microsoft.com/office/drawing/2014/chart" uri="{C3380CC4-5D6E-409C-BE32-E72D297353CC}">
              <c16:uniqueId val="{00000020-8F95-4C23-9FCB-E085BF8BB815}"/>
            </c:ext>
          </c:extLst>
        </c:ser>
        <c:ser>
          <c:idx val="33"/>
          <c:order val="33"/>
          <c:tx>
            <c:strRef>
              <c:f>'Max drawdown &amp; long'!$AN$1:$AN$2</c:f>
              <c:strCache>
                <c:ptCount val="1"/>
                <c:pt idx="0">
                  <c:v>34</c:v>
                </c:pt>
              </c:strCache>
            </c:strRef>
          </c:tx>
          <c:spPr>
            <a:solidFill>
              <a:schemeClr val="accent4">
                <a:lumMod val="5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long'!$AN$3:$AN$11</c:f>
              <c:numCache>
                <c:formatCode>General</c:formatCode>
                <c:ptCount val="8"/>
                <c:pt idx="0">
                  <c:v>0</c:v>
                </c:pt>
                <c:pt idx="1">
                  <c:v>-19115</c:v>
                </c:pt>
                <c:pt idx="2">
                  <c:v>-37355</c:v>
                </c:pt>
                <c:pt idx="3">
                  <c:v>-29915</c:v>
                </c:pt>
                <c:pt idx="4">
                  <c:v>-35055</c:v>
                </c:pt>
                <c:pt idx="5">
                  <c:v>-29915</c:v>
                </c:pt>
                <c:pt idx="6">
                  <c:v>-33065</c:v>
                </c:pt>
                <c:pt idx="7">
                  <c:v>-31445</c:v>
                </c:pt>
              </c:numCache>
            </c:numRef>
          </c:val>
          <c:extLst>
            <c:ext xmlns:c16="http://schemas.microsoft.com/office/drawing/2014/chart" uri="{C3380CC4-5D6E-409C-BE32-E72D297353CC}">
              <c16:uniqueId val="{00000021-8F95-4C23-9FCB-E085BF8BB815}"/>
            </c:ext>
          </c:extLst>
        </c:ser>
        <c:ser>
          <c:idx val="34"/>
          <c:order val="34"/>
          <c:tx>
            <c:strRef>
              <c:f>'Max drawdown &amp; long'!$AO$1:$AO$2</c:f>
              <c:strCache>
                <c:ptCount val="1"/>
                <c:pt idx="0">
                  <c:v>35</c:v>
                </c:pt>
              </c:strCache>
            </c:strRef>
          </c:tx>
          <c:spPr>
            <a:solidFill>
              <a:schemeClr val="accent5">
                <a:lumMod val="5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long'!$AO$3:$AO$11</c:f>
              <c:numCache>
                <c:formatCode>General</c:formatCode>
                <c:ptCount val="8"/>
                <c:pt idx="0">
                  <c:v>0</c:v>
                </c:pt>
                <c:pt idx="1">
                  <c:v>-19115</c:v>
                </c:pt>
                <c:pt idx="2">
                  <c:v>-43755</c:v>
                </c:pt>
                <c:pt idx="3">
                  <c:v>-36625</c:v>
                </c:pt>
                <c:pt idx="4">
                  <c:v>-40785</c:v>
                </c:pt>
                <c:pt idx="5">
                  <c:v>-33885</c:v>
                </c:pt>
                <c:pt idx="6">
                  <c:v>-32965</c:v>
                </c:pt>
                <c:pt idx="7">
                  <c:v>-31845</c:v>
                </c:pt>
              </c:numCache>
            </c:numRef>
          </c:val>
          <c:extLst>
            <c:ext xmlns:c16="http://schemas.microsoft.com/office/drawing/2014/chart" uri="{C3380CC4-5D6E-409C-BE32-E72D297353CC}">
              <c16:uniqueId val="{00000022-8F95-4C23-9FCB-E085BF8BB815}"/>
            </c:ext>
          </c:extLst>
        </c:ser>
        <c:ser>
          <c:idx val="35"/>
          <c:order val="35"/>
          <c:tx>
            <c:strRef>
              <c:f>'Max drawdown &amp; long'!$AP$1:$AP$2</c:f>
              <c:strCache>
                <c:ptCount val="1"/>
                <c:pt idx="0">
                  <c:v>36</c:v>
                </c:pt>
              </c:strCache>
            </c:strRef>
          </c:tx>
          <c:spPr>
            <a:solidFill>
              <a:schemeClr val="accent6">
                <a:lumMod val="5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long'!$AP$3:$AP$11</c:f>
              <c:numCache>
                <c:formatCode>General</c:formatCode>
                <c:ptCount val="8"/>
                <c:pt idx="0">
                  <c:v>0</c:v>
                </c:pt>
                <c:pt idx="1">
                  <c:v>-19115</c:v>
                </c:pt>
                <c:pt idx="2">
                  <c:v>-40315</c:v>
                </c:pt>
                <c:pt idx="3">
                  <c:v>-31855</c:v>
                </c:pt>
                <c:pt idx="4">
                  <c:v>-37865</c:v>
                </c:pt>
                <c:pt idx="5">
                  <c:v>-40015</c:v>
                </c:pt>
                <c:pt idx="6">
                  <c:v>-45255</c:v>
                </c:pt>
                <c:pt idx="7">
                  <c:v>-36645</c:v>
                </c:pt>
              </c:numCache>
            </c:numRef>
          </c:val>
          <c:extLst>
            <c:ext xmlns:c16="http://schemas.microsoft.com/office/drawing/2014/chart" uri="{C3380CC4-5D6E-409C-BE32-E72D297353CC}">
              <c16:uniqueId val="{00000023-8F95-4C23-9FCB-E085BF8BB815}"/>
            </c:ext>
          </c:extLst>
        </c:ser>
        <c:ser>
          <c:idx val="36"/>
          <c:order val="36"/>
          <c:tx>
            <c:strRef>
              <c:f>'Max drawdown &amp; long'!$AQ$1:$AQ$2</c:f>
              <c:strCache>
                <c:ptCount val="1"/>
                <c:pt idx="0">
                  <c:v>37</c:v>
                </c:pt>
              </c:strCache>
            </c:strRef>
          </c:tx>
          <c:spPr>
            <a:solidFill>
              <a:schemeClr val="accent1">
                <a:lumMod val="70000"/>
                <a:lumOff val="3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long'!$AQ$3:$AQ$11</c:f>
              <c:numCache>
                <c:formatCode>General</c:formatCode>
                <c:ptCount val="8"/>
                <c:pt idx="0">
                  <c:v>0</c:v>
                </c:pt>
                <c:pt idx="1">
                  <c:v>-19115</c:v>
                </c:pt>
                <c:pt idx="2">
                  <c:v>-40005</c:v>
                </c:pt>
                <c:pt idx="3">
                  <c:v>-30685</c:v>
                </c:pt>
                <c:pt idx="4">
                  <c:v>-38255</c:v>
                </c:pt>
                <c:pt idx="5">
                  <c:v>-34155</c:v>
                </c:pt>
                <c:pt idx="6">
                  <c:v>-45885</c:v>
                </c:pt>
                <c:pt idx="7">
                  <c:v>-33455</c:v>
                </c:pt>
              </c:numCache>
            </c:numRef>
          </c:val>
          <c:extLst>
            <c:ext xmlns:c16="http://schemas.microsoft.com/office/drawing/2014/chart" uri="{C3380CC4-5D6E-409C-BE32-E72D297353CC}">
              <c16:uniqueId val="{00000024-8F95-4C23-9FCB-E085BF8BB815}"/>
            </c:ext>
          </c:extLst>
        </c:ser>
        <c:ser>
          <c:idx val="37"/>
          <c:order val="37"/>
          <c:tx>
            <c:strRef>
              <c:f>'Max drawdown &amp; long'!$AR$1:$AR$2</c:f>
              <c:strCache>
                <c:ptCount val="1"/>
                <c:pt idx="0">
                  <c:v>38</c:v>
                </c:pt>
              </c:strCache>
            </c:strRef>
          </c:tx>
          <c:spPr>
            <a:solidFill>
              <a:schemeClr val="accent2">
                <a:lumMod val="70000"/>
                <a:lumOff val="3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long'!$AR$3:$AR$11</c:f>
              <c:numCache>
                <c:formatCode>General</c:formatCode>
                <c:ptCount val="8"/>
                <c:pt idx="0">
                  <c:v>0</c:v>
                </c:pt>
                <c:pt idx="1">
                  <c:v>-19115</c:v>
                </c:pt>
                <c:pt idx="2">
                  <c:v>-37225</c:v>
                </c:pt>
                <c:pt idx="3">
                  <c:v>-30155</c:v>
                </c:pt>
                <c:pt idx="4">
                  <c:v>-35475</c:v>
                </c:pt>
                <c:pt idx="5">
                  <c:v>-34475</c:v>
                </c:pt>
                <c:pt idx="6">
                  <c:v>-53025</c:v>
                </c:pt>
                <c:pt idx="7">
                  <c:v>-37025</c:v>
                </c:pt>
              </c:numCache>
            </c:numRef>
          </c:val>
          <c:extLst>
            <c:ext xmlns:c16="http://schemas.microsoft.com/office/drawing/2014/chart" uri="{C3380CC4-5D6E-409C-BE32-E72D297353CC}">
              <c16:uniqueId val="{00000025-8F95-4C23-9FCB-E085BF8BB815}"/>
            </c:ext>
          </c:extLst>
        </c:ser>
        <c:ser>
          <c:idx val="38"/>
          <c:order val="38"/>
          <c:tx>
            <c:strRef>
              <c:f>'Max drawdown &amp; long'!$AS$1:$AS$2</c:f>
              <c:strCache>
                <c:ptCount val="1"/>
                <c:pt idx="0">
                  <c:v>39</c:v>
                </c:pt>
              </c:strCache>
            </c:strRef>
          </c:tx>
          <c:spPr>
            <a:solidFill>
              <a:schemeClr val="accent3">
                <a:lumMod val="70000"/>
                <a:lumOff val="3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long'!$AS$3:$AS$11</c:f>
              <c:numCache>
                <c:formatCode>General</c:formatCode>
                <c:ptCount val="8"/>
                <c:pt idx="0">
                  <c:v>0</c:v>
                </c:pt>
                <c:pt idx="1">
                  <c:v>-19115</c:v>
                </c:pt>
                <c:pt idx="2">
                  <c:v>-34685</c:v>
                </c:pt>
                <c:pt idx="3">
                  <c:v>-30155</c:v>
                </c:pt>
                <c:pt idx="4">
                  <c:v>-32935</c:v>
                </c:pt>
                <c:pt idx="5">
                  <c:v>-36155</c:v>
                </c:pt>
                <c:pt idx="6">
                  <c:v>-47195</c:v>
                </c:pt>
                <c:pt idx="7">
                  <c:v>-36455</c:v>
                </c:pt>
              </c:numCache>
            </c:numRef>
          </c:val>
          <c:extLst>
            <c:ext xmlns:c16="http://schemas.microsoft.com/office/drawing/2014/chart" uri="{C3380CC4-5D6E-409C-BE32-E72D297353CC}">
              <c16:uniqueId val="{00000026-8F95-4C23-9FCB-E085BF8BB815}"/>
            </c:ext>
          </c:extLst>
        </c:ser>
        <c:ser>
          <c:idx val="39"/>
          <c:order val="39"/>
          <c:tx>
            <c:strRef>
              <c:f>'Max drawdown &amp; long'!$AT$1:$AT$2</c:f>
              <c:strCache>
                <c:ptCount val="1"/>
                <c:pt idx="0">
                  <c:v>40</c:v>
                </c:pt>
              </c:strCache>
            </c:strRef>
          </c:tx>
          <c:spPr>
            <a:solidFill>
              <a:schemeClr val="accent4">
                <a:lumMod val="70000"/>
                <a:lumOff val="3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long'!$AT$3:$AT$11</c:f>
              <c:numCache>
                <c:formatCode>General</c:formatCode>
                <c:ptCount val="8"/>
                <c:pt idx="0">
                  <c:v>0</c:v>
                </c:pt>
                <c:pt idx="1">
                  <c:v>-19115</c:v>
                </c:pt>
                <c:pt idx="2">
                  <c:v>-35145</c:v>
                </c:pt>
                <c:pt idx="3">
                  <c:v>-30615</c:v>
                </c:pt>
                <c:pt idx="4">
                  <c:v>-35075</c:v>
                </c:pt>
                <c:pt idx="5">
                  <c:v>-43025</c:v>
                </c:pt>
                <c:pt idx="6">
                  <c:v>-41205</c:v>
                </c:pt>
                <c:pt idx="7">
                  <c:v>-38225</c:v>
                </c:pt>
              </c:numCache>
            </c:numRef>
          </c:val>
          <c:extLst>
            <c:ext xmlns:c16="http://schemas.microsoft.com/office/drawing/2014/chart" uri="{C3380CC4-5D6E-409C-BE32-E72D297353CC}">
              <c16:uniqueId val="{00000027-8F95-4C23-9FCB-E085BF8BB815}"/>
            </c:ext>
          </c:extLst>
        </c:ser>
        <c:bandFmts>
          <c:bandFmt>
            <c:idx val="0"/>
            <c:spPr>
              <a:solidFill>
                <a:schemeClr val="accent1"/>
              </a:solidFill>
              <a:ln/>
              <a:effectLst/>
              <a:sp3d/>
            </c:spPr>
          </c:bandFmt>
          <c:bandFmt>
            <c:idx val="1"/>
            <c:spPr>
              <a:solidFill>
                <a:schemeClr val="accent2"/>
              </a:solidFill>
              <a:ln/>
              <a:effectLst/>
              <a:sp3d/>
            </c:spPr>
          </c:bandFmt>
          <c:bandFmt>
            <c:idx val="2"/>
            <c:spPr>
              <a:solidFill>
                <a:schemeClr val="accent3"/>
              </a:solidFill>
              <a:ln/>
              <a:effectLst/>
              <a:sp3d/>
            </c:spPr>
          </c:bandFmt>
          <c:bandFmt>
            <c:idx val="3"/>
            <c:spPr>
              <a:solidFill>
                <a:schemeClr val="accent4"/>
              </a:solidFill>
              <a:ln/>
              <a:effectLst/>
              <a:sp3d/>
            </c:spPr>
          </c:bandFmt>
          <c:bandFmt>
            <c:idx val="4"/>
            <c:spPr>
              <a:solidFill>
                <a:schemeClr val="accent5"/>
              </a:solidFill>
              <a:ln/>
              <a:effectLst/>
              <a:sp3d/>
            </c:spPr>
          </c:bandFmt>
          <c:bandFmt>
            <c:idx val="5"/>
            <c:spPr>
              <a:solidFill>
                <a:schemeClr val="accent6"/>
              </a:solidFill>
              <a:ln/>
              <a:effectLst/>
              <a:sp3d/>
            </c:spPr>
          </c:bandFmt>
          <c:bandFmt>
            <c:idx val="6"/>
            <c:spPr>
              <a:solidFill>
                <a:schemeClr val="accent1">
                  <a:lumMod val="60000"/>
                </a:schemeClr>
              </a:solidFill>
              <a:ln/>
              <a:effectLst/>
              <a:sp3d/>
            </c:spPr>
          </c:bandFmt>
          <c:bandFmt>
            <c:idx val="7"/>
            <c:spPr>
              <a:solidFill>
                <a:schemeClr val="accent2">
                  <a:lumMod val="60000"/>
                </a:schemeClr>
              </a:solidFill>
              <a:ln/>
              <a:effectLst/>
              <a:sp3d/>
            </c:spPr>
          </c:bandFmt>
        </c:bandFmts>
        <c:axId val="729485359"/>
        <c:axId val="724954031"/>
        <c:axId val="730017823"/>
      </c:surface3DChart>
      <c:catAx>
        <c:axId val="729485359"/>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954031"/>
        <c:crosses val="autoZero"/>
        <c:auto val="1"/>
        <c:lblAlgn val="ctr"/>
        <c:lblOffset val="100"/>
        <c:noMultiLvlLbl val="0"/>
      </c:catAx>
      <c:valAx>
        <c:axId val="7249540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9485359"/>
        <c:crosses val="autoZero"/>
        <c:crossBetween val="midCat"/>
      </c:valAx>
      <c:serAx>
        <c:axId val="730017823"/>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954031"/>
        <c:crosses val="autoZero"/>
      </c:serAx>
    </c:plotArea>
    <c:legend>
      <c:legendPos val="r"/>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txPr>
    <a:bodyPr/>
    <a:lstStyle/>
    <a:p>
      <a:pPr>
        <a:defRPr/>
      </a:pPr>
      <a:endParaRPr lang="en-US"/>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pivotSource>
    <c:name>[חוברת1]גיליון4!PivotTable3</c:name>
    <c:fmtId val="-1"/>
  </c:pivotSource>
  <c:chart>
    <c:autoTitleDeleted val="0"/>
    <c:pivotFmts>
      <c:pivotFmt>
        <c:idx val="0"/>
        <c:spPr>
          <a:solidFill>
            <a:schemeClr val="accent1"/>
          </a:solidFill>
          <a:ln/>
          <a:effectLst/>
          <a:sp3d/>
        </c:spPr>
        <c:marker>
          <c:symbol val="none"/>
        </c:marker>
      </c:pivotFmt>
      <c:pivotFmt>
        <c:idx val="1"/>
        <c:spPr>
          <a:solidFill>
            <a:schemeClr val="accent1"/>
          </a:solidFill>
          <a:ln/>
          <a:effectLst/>
          <a:sp3d/>
        </c:spPr>
        <c:marker>
          <c:symbol val="none"/>
        </c:marker>
      </c:pivotFmt>
      <c:pivotFmt>
        <c:idx val="2"/>
        <c:spPr>
          <a:solidFill>
            <a:schemeClr val="accent1"/>
          </a:solidFill>
          <a:ln/>
          <a:effectLst/>
          <a:sp3d/>
        </c:spPr>
        <c:marker>
          <c:symbol val="none"/>
        </c:marker>
      </c:pivotFmt>
      <c:pivotFmt>
        <c:idx val="3"/>
        <c:spPr>
          <a:solidFill>
            <a:schemeClr val="accent1"/>
          </a:solidFill>
          <a:ln/>
          <a:effectLst/>
          <a:sp3d/>
        </c:spPr>
        <c:marker>
          <c:symbol val="none"/>
        </c:marker>
      </c:pivotFmt>
      <c:pivotFmt>
        <c:idx val="4"/>
        <c:spPr>
          <a:solidFill>
            <a:schemeClr val="accent1"/>
          </a:solidFill>
          <a:ln/>
          <a:effectLst/>
          <a:sp3d/>
        </c:spPr>
        <c:marker>
          <c:symbol val="none"/>
        </c:marker>
      </c:pivotFmt>
      <c:pivotFmt>
        <c:idx val="5"/>
        <c:spPr>
          <a:solidFill>
            <a:schemeClr val="accent1"/>
          </a:solidFill>
          <a:ln/>
          <a:effectLst/>
          <a:sp3d/>
        </c:spPr>
        <c:marker>
          <c:symbol val="none"/>
        </c:marker>
      </c:pivotFmt>
      <c:pivotFmt>
        <c:idx val="6"/>
        <c:spPr>
          <a:solidFill>
            <a:schemeClr val="accent1"/>
          </a:solidFill>
          <a:ln/>
          <a:effectLst/>
          <a:sp3d/>
        </c:spPr>
        <c:marker>
          <c:symbol val="none"/>
        </c:marker>
      </c:pivotFmt>
      <c:pivotFmt>
        <c:idx val="7"/>
        <c:spPr>
          <a:solidFill>
            <a:schemeClr val="accent1"/>
          </a:solidFill>
          <a:ln/>
          <a:effectLst/>
          <a:sp3d/>
        </c:spPr>
        <c:marker>
          <c:symbol val="none"/>
        </c:marker>
      </c:pivotFmt>
      <c:pivotFmt>
        <c:idx val="8"/>
        <c:spPr>
          <a:solidFill>
            <a:schemeClr val="accent1"/>
          </a:solidFill>
          <a:ln/>
          <a:effectLst/>
          <a:sp3d/>
        </c:spPr>
        <c:marker>
          <c:symbol val="none"/>
        </c:marker>
      </c:pivotFmt>
      <c:pivotFmt>
        <c:idx val="9"/>
        <c:spPr>
          <a:solidFill>
            <a:schemeClr val="accent1"/>
          </a:solidFill>
          <a:ln/>
          <a:effectLst/>
          <a:sp3d/>
        </c:spPr>
        <c:marker>
          <c:symbol val="none"/>
        </c:marker>
      </c:pivotFmt>
      <c:pivotFmt>
        <c:idx val="10"/>
        <c:spPr>
          <a:solidFill>
            <a:schemeClr val="accent1"/>
          </a:solidFill>
          <a:ln/>
          <a:effectLst/>
          <a:sp3d/>
        </c:spPr>
        <c:marker>
          <c:symbol val="none"/>
        </c:marker>
      </c:pivotFmt>
      <c:pivotFmt>
        <c:idx val="11"/>
        <c:spPr>
          <a:solidFill>
            <a:schemeClr val="accent1"/>
          </a:solidFill>
          <a:ln/>
          <a:effectLst/>
          <a:sp3d/>
        </c:spPr>
      </c:pivotFmt>
      <c:pivotFmt>
        <c:idx val="12"/>
        <c:spPr>
          <a:solidFill>
            <a:schemeClr val="accent2"/>
          </a:solidFill>
          <a:ln/>
          <a:effectLst/>
          <a:sp3d/>
        </c:spPr>
      </c:pivotFmt>
      <c:pivotFmt>
        <c:idx val="13"/>
        <c:spPr>
          <a:solidFill>
            <a:schemeClr val="accent3"/>
          </a:solidFill>
          <a:ln/>
          <a:effectLst/>
          <a:sp3d/>
        </c:spPr>
      </c:pivotFmt>
      <c:pivotFmt>
        <c:idx val="14"/>
        <c:spPr>
          <a:solidFill>
            <a:schemeClr val="accent4"/>
          </a:solidFill>
          <a:ln/>
          <a:effectLst/>
          <a:sp3d/>
        </c:spPr>
      </c:pivotFmt>
      <c:pivotFmt>
        <c:idx val="15"/>
        <c:spPr>
          <a:solidFill>
            <a:schemeClr val="accent5"/>
          </a:solidFill>
          <a:ln/>
          <a:effectLst/>
          <a:sp3d/>
        </c:spPr>
      </c:pivotFmt>
      <c:pivotFmt>
        <c:idx val="16"/>
        <c:spPr>
          <a:solidFill>
            <a:schemeClr val="accent6"/>
          </a:solidFill>
          <a:ln/>
          <a:effectLst/>
          <a:sp3d/>
        </c:spPr>
      </c:pivotFmt>
      <c:pivotFmt>
        <c:idx val="17"/>
        <c:spPr>
          <a:solidFill>
            <a:schemeClr val="accent1">
              <a:lumMod val="60000"/>
            </a:schemeClr>
          </a:solidFill>
          <a:ln/>
          <a:effectLst/>
          <a:sp3d/>
        </c:spPr>
      </c:pivotFmt>
      <c:pivotFmt>
        <c:idx val="18"/>
        <c:spPr>
          <a:solidFill>
            <a:schemeClr val="accent2">
              <a:lumMod val="60000"/>
            </a:schemeClr>
          </a:solidFill>
          <a:ln/>
          <a:effectLst/>
          <a:sp3d/>
        </c:spPr>
      </c:pivotFmt>
      <c:pivotFmt>
        <c:idx val="19"/>
        <c:spPr>
          <a:solidFill>
            <a:schemeClr val="accent2"/>
          </a:solidFill>
          <a:ln/>
          <a:effectLst/>
          <a:sp3d/>
        </c:spPr>
        <c:marker>
          <c:symbol val="none"/>
        </c:marker>
      </c:pivotFmt>
      <c:pivotFmt>
        <c:idx val="20"/>
        <c:spPr>
          <a:solidFill>
            <a:schemeClr val="accent3"/>
          </a:solidFill>
          <a:ln/>
          <a:effectLst/>
          <a:sp3d/>
        </c:spPr>
        <c:marker>
          <c:symbol val="none"/>
        </c:marker>
      </c:pivotFmt>
      <c:pivotFmt>
        <c:idx val="21"/>
        <c:spPr>
          <a:solidFill>
            <a:schemeClr val="accent4"/>
          </a:solidFill>
          <a:ln/>
          <a:effectLst/>
          <a:sp3d/>
        </c:spPr>
        <c:marker>
          <c:symbol val="none"/>
        </c:marker>
      </c:pivotFmt>
      <c:pivotFmt>
        <c:idx val="22"/>
        <c:spPr>
          <a:solidFill>
            <a:schemeClr val="accent5"/>
          </a:solidFill>
          <a:ln/>
          <a:effectLst/>
          <a:sp3d/>
        </c:spPr>
        <c:marker>
          <c:symbol val="none"/>
        </c:marker>
      </c:pivotFmt>
      <c:pivotFmt>
        <c:idx val="23"/>
        <c:spPr>
          <a:solidFill>
            <a:schemeClr val="accent6"/>
          </a:solidFill>
          <a:ln/>
          <a:effectLst/>
          <a:sp3d/>
        </c:spPr>
        <c:marker>
          <c:symbol val="none"/>
        </c:marker>
      </c:pivotFmt>
      <c:pivotFmt>
        <c:idx val="24"/>
        <c:spPr>
          <a:solidFill>
            <a:schemeClr val="accent1">
              <a:lumMod val="60000"/>
            </a:schemeClr>
          </a:solidFill>
          <a:ln/>
          <a:effectLst/>
          <a:sp3d/>
        </c:spPr>
        <c:marker>
          <c:symbol val="none"/>
        </c:marker>
      </c:pivotFmt>
      <c:pivotFmt>
        <c:idx val="25"/>
        <c:spPr>
          <a:solidFill>
            <a:schemeClr val="accent2">
              <a:lumMod val="60000"/>
            </a:schemeClr>
          </a:solidFill>
          <a:ln/>
          <a:effectLst/>
          <a:sp3d/>
        </c:spPr>
        <c:marker>
          <c:symbol val="none"/>
        </c:marker>
      </c:pivotFmt>
      <c:pivotFmt>
        <c:idx val="26"/>
        <c:spPr>
          <a:solidFill>
            <a:schemeClr val="accent3">
              <a:lumMod val="60000"/>
            </a:schemeClr>
          </a:solidFill>
          <a:ln/>
          <a:effectLst/>
          <a:sp3d/>
        </c:spPr>
        <c:marker>
          <c:symbol val="none"/>
        </c:marker>
      </c:pivotFmt>
      <c:pivotFmt>
        <c:idx val="27"/>
        <c:spPr>
          <a:solidFill>
            <a:schemeClr val="accent4">
              <a:lumMod val="60000"/>
            </a:schemeClr>
          </a:solidFill>
          <a:ln/>
          <a:effectLst/>
          <a:sp3d/>
        </c:spPr>
        <c:marker>
          <c:symbol val="none"/>
        </c:marker>
      </c:pivotFmt>
      <c:pivotFmt>
        <c:idx val="28"/>
        <c:spPr>
          <a:solidFill>
            <a:schemeClr val="accent1"/>
          </a:solidFill>
          <a:ln/>
          <a:effectLst/>
          <a:sp3d/>
        </c:spPr>
        <c:marker>
          <c:symbol val="none"/>
        </c:marker>
      </c:pivotFmt>
      <c:pivotFmt>
        <c:idx val="29"/>
        <c:spPr>
          <a:solidFill>
            <a:schemeClr val="accent1"/>
          </a:solidFill>
          <a:ln/>
          <a:effectLst/>
          <a:sp3d/>
        </c:spPr>
      </c:pivotFmt>
      <c:pivotFmt>
        <c:idx val="30"/>
        <c:spPr>
          <a:solidFill>
            <a:schemeClr val="accent2"/>
          </a:solidFill>
          <a:ln/>
          <a:effectLst/>
          <a:sp3d/>
        </c:spPr>
      </c:pivotFmt>
      <c:pivotFmt>
        <c:idx val="31"/>
        <c:spPr>
          <a:solidFill>
            <a:schemeClr val="accent3"/>
          </a:solidFill>
          <a:ln/>
          <a:effectLst/>
          <a:sp3d/>
        </c:spPr>
      </c:pivotFmt>
      <c:pivotFmt>
        <c:idx val="32"/>
        <c:spPr>
          <a:solidFill>
            <a:schemeClr val="accent4"/>
          </a:solidFill>
          <a:ln/>
          <a:effectLst/>
          <a:sp3d/>
        </c:spPr>
      </c:pivotFmt>
      <c:pivotFmt>
        <c:idx val="33"/>
        <c:spPr>
          <a:solidFill>
            <a:schemeClr val="accent5"/>
          </a:solidFill>
          <a:ln/>
          <a:effectLst/>
          <a:sp3d/>
        </c:spPr>
      </c:pivotFmt>
      <c:pivotFmt>
        <c:idx val="34"/>
        <c:spPr>
          <a:solidFill>
            <a:schemeClr val="accent6"/>
          </a:solidFill>
          <a:ln/>
          <a:effectLst/>
          <a:sp3d/>
        </c:spPr>
      </c:pivotFmt>
      <c:pivotFmt>
        <c:idx val="35"/>
        <c:spPr>
          <a:solidFill>
            <a:schemeClr val="accent1">
              <a:lumMod val="60000"/>
            </a:schemeClr>
          </a:solidFill>
          <a:ln/>
          <a:effectLst/>
          <a:sp3d/>
        </c:spPr>
      </c:pivotFmt>
      <c:pivotFmt>
        <c:idx val="36"/>
        <c:spPr>
          <a:solidFill>
            <a:schemeClr val="accent2">
              <a:lumMod val="60000"/>
            </a:schemeClr>
          </a:solidFill>
          <a:ln/>
          <a:effectLst/>
          <a:sp3d/>
        </c:spPr>
      </c:pivotFmt>
      <c:pivotFmt>
        <c:idx val="37"/>
        <c:spPr>
          <a:solidFill>
            <a:schemeClr val="accent2"/>
          </a:solidFill>
          <a:ln/>
          <a:effectLst/>
          <a:sp3d/>
        </c:spPr>
        <c:marker>
          <c:symbol val="none"/>
        </c:marker>
      </c:pivotFmt>
      <c:pivotFmt>
        <c:idx val="38"/>
        <c:spPr>
          <a:solidFill>
            <a:schemeClr val="accent3"/>
          </a:solidFill>
          <a:ln/>
          <a:effectLst/>
          <a:sp3d/>
        </c:spPr>
        <c:marker>
          <c:symbol val="none"/>
        </c:marker>
      </c:pivotFmt>
      <c:pivotFmt>
        <c:idx val="39"/>
        <c:spPr>
          <a:solidFill>
            <a:schemeClr val="accent4"/>
          </a:solidFill>
          <a:ln/>
          <a:effectLst/>
          <a:sp3d/>
        </c:spPr>
        <c:marker>
          <c:symbol val="none"/>
        </c:marker>
      </c:pivotFmt>
      <c:pivotFmt>
        <c:idx val="40"/>
        <c:spPr>
          <a:solidFill>
            <a:schemeClr val="accent5"/>
          </a:solidFill>
          <a:ln/>
          <a:effectLst/>
          <a:sp3d/>
        </c:spPr>
        <c:marker>
          <c:symbol val="none"/>
        </c:marker>
      </c:pivotFmt>
      <c:pivotFmt>
        <c:idx val="41"/>
        <c:spPr>
          <a:solidFill>
            <a:schemeClr val="accent6"/>
          </a:solidFill>
          <a:ln/>
          <a:effectLst/>
          <a:sp3d/>
        </c:spPr>
        <c:marker>
          <c:symbol val="none"/>
        </c:marker>
      </c:pivotFmt>
      <c:pivotFmt>
        <c:idx val="42"/>
        <c:spPr>
          <a:solidFill>
            <a:schemeClr val="accent1">
              <a:lumMod val="60000"/>
            </a:schemeClr>
          </a:solidFill>
          <a:ln/>
          <a:effectLst/>
          <a:sp3d/>
        </c:spPr>
        <c:marker>
          <c:symbol val="none"/>
        </c:marker>
      </c:pivotFmt>
      <c:pivotFmt>
        <c:idx val="43"/>
        <c:spPr>
          <a:solidFill>
            <a:schemeClr val="accent2">
              <a:lumMod val="60000"/>
            </a:schemeClr>
          </a:solidFill>
          <a:ln/>
          <a:effectLst/>
          <a:sp3d/>
        </c:spPr>
        <c:marker>
          <c:symbol val="none"/>
        </c:marker>
      </c:pivotFmt>
      <c:pivotFmt>
        <c:idx val="44"/>
        <c:spPr>
          <a:solidFill>
            <a:schemeClr val="accent3">
              <a:lumMod val="60000"/>
            </a:schemeClr>
          </a:solidFill>
          <a:ln/>
          <a:effectLst/>
          <a:sp3d/>
        </c:spPr>
        <c:marker>
          <c:symbol val="none"/>
        </c:marker>
      </c:pivotFmt>
      <c:pivotFmt>
        <c:idx val="45"/>
        <c:spPr>
          <a:solidFill>
            <a:schemeClr val="accent4">
              <a:lumMod val="60000"/>
            </a:schemeClr>
          </a:solidFill>
          <a:ln/>
          <a:effectLst/>
          <a:sp3d/>
        </c:spPr>
        <c:marker>
          <c:symbol val="none"/>
        </c:marker>
      </c:pivotFmt>
    </c:pivotFmts>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tx>
            <c:strRef>
              <c:f>גיליון4!$G$2:$G$3</c:f>
              <c:strCache>
                <c:ptCount val="1"/>
                <c:pt idx="0">
                  <c:v>1</c:v>
                </c:pt>
              </c:strCache>
            </c:strRef>
          </c:tx>
          <c:spPr>
            <a:solidFill>
              <a:schemeClr val="accent1"/>
            </a:solidFill>
            <a:ln/>
            <a:effectLst/>
            <a:sp3d/>
          </c:spPr>
          <c:cat>
            <c:strRef>
              <c:f>גיליון4!$F$4:$F$12</c:f>
              <c:strCache>
                <c:ptCount val="8"/>
                <c:pt idx="0">
                  <c:v>1</c:v>
                </c:pt>
                <c:pt idx="1">
                  <c:v>6</c:v>
                </c:pt>
                <c:pt idx="2">
                  <c:v>11</c:v>
                </c:pt>
                <c:pt idx="3">
                  <c:v>16</c:v>
                </c:pt>
                <c:pt idx="4">
                  <c:v>21</c:v>
                </c:pt>
                <c:pt idx="5">
                  <c:v>26</c:v>
                </c:pt>
                <c:pt idx="6">
                  <c:v>31</c:v>
                </c:pt>
                <c:pt idx="7">
                  <c:v>36</c:v>
                </c:pt>
              </c:strCache>
            </c:strRef>
          </c:cat>
          <c:val>
            <c:numRef>
              <c:f>גיליון4!$G$4:$G$12</c:f>
              <c:numCache>
                <c:formatCode>General</c:formatCode>
                <c:ptCount val="8"/>
                <c:pt idx="0">
                  <c:v>0</c:v>
                </c:pt>
                <c:pt idx="1">
                  <c:v>-19115</c:v>
                </c:pt>
                <c:pt idx="2">
                  <c:v>-40225</c:v>
                </c:pt>
                <c:pt idx="3">
                  <c:v>-32175</c:v>
                </c:pt>
                <c:pt idx="4">
                  <c:v>-38135</c:v>
                </c:pt>
                <c:pt idx="5">
                  <c:v>-30555</c:v>
                </c:pt>
                <c:pt idx="6">
                  <c:v>-32475</c:v>
                </c:pt>
                <c:pt idx="7">
                  <c:v>-31235</c:v>
                </c:pt>
              </c:numCache>
            </c:numRef>
          </c:val>
          <c:extLst>
            <c:ext xmlns:c16="http://schemas.microsoft.com/office/drawing/2014/chart" uri="{C3380CC4-5D6E-409C-BE32-E72D297353CC}">
              <c16:uniqueId val="{00000000-C0CA-4EF0-A9E0-E461592B4C7D}"/>
            </c:ext>
          </c:extLst>
        </c:ser>
        <c:ser>
          <c:idx val="1"/>
          <c:order val="1"/>
          <c:tx>
            <c:strRef>
              <c:f>גיליון4!$H$2:$H$3</c:f>
              <c:strCache>
                <c:ptCount val="1"/>
                <c:pt idx="0">
                  <c:v>2</c:v>
                </c:pt>
              </c:strCache>
            </c:strRef>
          </c:tx>
          <c:spPr>
            <a:solidFill>
              <a:schemeClr val="accent2"/>
            </a:solidFill>
            <a:ln/>
            <a:effectLst/>
            <a:sp3d/>
          </c:spPr>
          <c:cat>
            <c:strRef>
              <c:f>גיליון4!$F$4:$F$12</c:f>
              <c:strCache>
                <c:ptCount val="8"/>
                <c:pt idx="0">
                  <c:v>1</c:v>
                </c:pt>
                <c:pt idx="1">
                  <c:v>6</c:v>
                </c:pt>
                <c:pt idx="2">
                  <c:v>11</c:v>
                </c:pt>
                <c:pt idx="3">
                  <c:v>16</c:v>
                </c:pt>
                <c:pt idx="4">
                  <c:v>21</c:v>
                </c:pt>
                <c:pt idx="5">
                  <c:v>26</c:v>
                </c:pt>
                <c:pt idx="6">
                  <c:v>31</c:v>
                </c:pt>
                <c:pt idx="7">
                  <c:v>36</c:v>
                </c:pt>
              </c:strCache>
            </c:strRef>
          </c:cat>
          <c:val>
            <c:numRef>
              <c:f>גיליון4!$H$4:$H$12</c:f>
              <c:numCache>
                <c:formatCode>General</c:formatCode>
                <c:ptCount val="8"/>
                <c:pt idx="0">
                  <c:v>0</c:v>
                </c:pt>
                <c:pt idx="1">
                  <c:v>-19115</c:v>
                </c:pt>
                <c:pt idx="2">
                  <c:v>-37565</c:v>
                </c:pt>
                <c:pt idx="3">
                  <c:v>-31135</c:v>
                </c:pt>
                <c:pt idx="4">
                  <c:v>-36805</c:v>
                </c:pt>
                <c:pt idx="5">
                  <c:v>-30435</c:v>
                </c:pt>
                <c:pt idx="6">
                  <c:v>-32565</c:v>
                </c:pt>
                <c:pt idx="7">
                  <c:v>-32105</c:v>
                </c:pt>
              </c:numCache>
            </c:numRef>
          </c:val>
          <c:extLst>
            <c:ext xmlns:c16="http://schemas.microsoft.com/office/drawing/2014/chart" uri="{C3380CC4-5D6E-409C-BE32-E72D297353CC}">
              <c16:uniqueId val="{00000001-C0CA-4EF0-A9E0-E461592B4C7D}"/>
            </c:ext>
          </c:extLst>
        </c:ser>
        <c:ser>
          <c:idx val="2"/>
          <c:order val="2"/>
          <c:tx>
            <c:strRef>
              <c:f>גיליון4!$I$2:$I$3</c:f>
              <c:strCache>
                <c:ptCount val="1"/>
                <c:pt idx="0">
                  <c:v>3</c:v>
                </c:pt>
              </c:strCache>
            </c:strRef>
          </c:tx>
          <c:spPr>
            <a:solidFill>
              <a:schemeClr val="accent3"/>
            </a:solidFill>
            <a:ln/>
            <a:effectLst/>
            <a:sp3d/>
          </c:spPr>
          <c:cat>
            <c:strRef>
              <c:f>גיליון4!$F$4:$F$12</c:f>
              <c:strCache>
                <c:ptCount val="8"/>
                <c:pt idx="0">
                  <c:v>1</c:v>
                </c:pt>
                <c:pt idx="1">
                  <c:v>6</c:v>
                </c:pt>
                <c:pt idx="2">
                  <c:v>11</c:v>
                </c:pt>
                <c:pt idx="3">
                  <c:v>16</c:v>
                </c:pt>
                <c:pt idx="4">
                  <c:v>21</c:v>
                </c:pt>
                <c:pt idx="5">
                  <c:v>26</c:v>
                </c:pt>
                <c:pt idx="6">
                  <c:v>31</c:v>
                </c:pt>
                <c:pt idx="7">
                  <c:v>36</c:v>
                </c:pt>
              </c:strCache>
            </c:strRef>
          </c:cat>
          <c:val>
            <c:numRef>
              <c:f>גיליון4!$I$4:$I$12</c:f>
              <c:numCache>
                <c:formatCode>General</c:formatCode>
                <c:ptCount val="8"/>
                <c:pt idx="0">
                  <c:v>0</c:v>
                </c:pt>
                <c:pt idx="1">
                  <c:v>-19115</c:v>
                </c:pt>
                <c:pt idx="2">
                  <c:v>-37875</c:v>
                </c:pt>
                <c:pt idx="3">
                  <c:v>-29475</c:v>
                </c:pt>
                <c:pt idx="4">
                  <c:v>-35055</c:v>
                </c:pt>
                <c:pt idx="5">
                  <c:v>-30435</c:v>
                </c:pt>
                <c:pt idx="6">
                  <c:v>-34955</c:v>
                </c:pt>
                <c:pt idx="7">
                  <c:v>-32625</c:v>
                </c:pt>
              </c:numCache>
            </c:numRef>
          </c:val>
          <c:extLst>
            <c:ext xmlns:c16="http://schemas.microsoft.com/office/drawing/2014/chart" uri="{C3380CC4-5D6E-409C-BE32-E72D297353CC}">
              <c16:uniqueId val="{00000002-C0CA-4EF0-A9E0-E461592B4C7D}"/>
            </c:ext>
          </c:extLst>
        </c:ser>
        <c:ser>
          <c:idx val="3"/>
          <c:order val="3"/>
          <c:tx>
            <c:strRef>
              <c:f>גיליון4!$J$2:$J$3</c:f>
              <c:strCache>
                <c:ptCount val="1"/>
                <c:pt idx="0">
                  <c:v>4</c:v>
                </c:pt>
              </c:strCache>
            </c:strRef>
          </c:tx>
          <c:spPr>
            <a:solidFill>
              <a:schemeClr val="accent4"/>
            </a:solidFill>
            <a:ln/>
            <a:effectLst/>
            <a:sp3d/>
          </c:spPr>
          <c:cat>
            <c:strRef>
              <c:f>גיליון4!$F$4:$F$12</c:f>
              <c:strCache>
                <c:ptCount val="8"/>
                <c:pt idx="0">
                  <c:v>1</c:v>
                </c:pt>
                <c:pt idx="1">
                  <c:v>6</c:v>
                </c:pt>
                <c:pt idx="2">
                  <c:v>11</c:v>
                </c:pt>
                <c:pt idx="3">
                  <c:v>16</c:v>
                </c:pt>
                <c:pt idx="4">
                  <c:v>21</c:v>
                </c:pt>
                <c:pt idx="5">
                  <c:v>26</c:v>
                </c:pt>
                <c:pt idx="6">
                  <c:v>31</c:v>
                </c:pt>
                <c:pt idx="7">
                  <c:v>36</c:v>
                </c:pt>
              </c:strCache>
            </c:strRef>
          </c:cat>
          <c:val>
            <c:numRef>
              <c:f>גיליון4!$J$4:$J$12</c:f>
              <c:numCache>
                <c:formatCode>General</c:formatCode>
                <c:ptCount val="8"/>
                <c:pt idx="0">
                  <c:v>0</c:v>
                </c:pt>
                <c:pt idx="1">
                  <c:v>-19115</c:v>
                </c:pt>
                <c:pt idx="2">
                  <c:v>-37875</c:v>
                </c:pt>
                <c:pt idx="3">
                  <c:v>-29475</c:v>
                </c:pt>
                <c:pt idx="4">
                  <c:v>-35055</c:v>
                </c:pt>
                <c:pt idx="5">
                  <c:v>-30435</c:v>
                </c:pt>
                <c:pt idx="6">
                  <c:v>-34225</c:v>
                </c:pt>
                <c:pt idx="7">
                  <c:v>-32125</c:v>
                </c:pt>
              </c:numCache>
            </c:numRef>
          </c:val>
          <c:extLst>
            <c:ext xmlns:c16="http://schemas.microsoft.com/office/drawing/2014/chart" uri="{C3380CC4-5D6E-409C-BE32-E72D297353CC}">
              <c16:uniqueId val="{00000003-C0CA-4EF0-A9E0-E461592B4C7D}"/>
            </c:ext>
          </c:extLst>
        </c:ser>
        <c:ser>
          <c:idx val="4"/>
          <c:order val="4"/>
          <c:tx>
            <c:strRef>
              <c:f>גיליון4!$K$2:$K$3</c:f>
              <c:strCache>
                <c:ptCount val="1"/>
                <c:pt idx="0">
                  <c:v>5</c:v>
                </c:pt>
              </c:strCache>
            </c:strRef>
          </c:tx>
          <c:spPr>
            <a:solidFill>
              <a:schemeClr val="accent5"/>
            </a:solidFill>
            <a:ln/>
            <a:effectLst/>
            <a:sp3d/>
          </c:spPr>
          <c:cat>
            <c:strRef>
              <c:f>גיליון4!$F$4:$F$12</c:f>
              <c:strCache>
                <c:ptCount val="8"/>
                <c:pt idx="0">
                  <c:v>1</c:v>
                </c:pt>
                <c:pt idx="1">
                  <c:v>6</c:v>
                </c:pt>
                <c:pt idx="2">
                  <c:v>11</c:v>
                </c:pt>
                <c:pt idx="3">
                  <c:v>16</c:v>
                </c:pt>
                <c:pt idx="4">
                  <c:v>21</c:v>
                </c:pt>
                <c:pt idx="5">
                  <c:v>26</c:v>
                </c:pt>
                <c:pt idx="6">
                  <c:v>31</c:v>
                </c:pt>
                <c:pt idx="7">
                  <c:v>36</c:v>
                </c:pt>
              </c:strCache>
            </c:strRef>
          </c:cat>
          <c:val>
            <c:numRef>
              <c:f>גיליון4!$K$4:$K$12</c:f>
              <c:numCache>
                <c:formatCode>General</c:formatCode>
                <c:ptCount val="8"/>
                <c:pt idx="0">
                  <c:v>0</c:v>
                </c:pt>
                <c:pt idx="1">
                  <c:v>-19115</c:v>
                </c:pt>
                <c:pt idx="2">
                  <c:v>-37355</c:v>
                </c:pt>
                <c:pt idx="3">
                  <c:v>-29915</c:v>
                </c:pt>
                <c:pt idx="4">
                  <c:v>-35055</c:v>
                </c:pt>
                <c:pt idx="5">
                  <c:v>-29915</c:v>
                </c:pt>
                <c:pt idx="6">
                  <c:v>-33065</c:v>
                </c:pt>
                <c:pt idx="7">
                  <c:v>-31445</c:v>
                </c:pt>
              </c:numCache>
            </c:numRef>
          </c:val>
          <c:extLst>
            <c:ext xmlns:c16="http://schemas.microsoft.com/office/drawing/2014/chart" uri="{C3380CC4-5D6E-409C-BE32-E72D297353CC}">
              <c16:uniqueId val="{00000004-C0CA-4EF0-A9E0-E461592B4C7D}"/>
            </c:ext>
          </c:extLst>
        </c:ser>
        <c:ser>
          <c:idx val="5"/>
          <c:order val="5"/>
          <c:tx>
            <c:strRef>
              <c:f>גיליון4!$L$2:$L$3</c:f>
              <c:strCache>
                <c:ptCount val="1"/>
                <c:pt idx="0">
                  <c:v>6</c:v>
                </c:pt>
              </c:strCache>
            </c:strRef>
          </c:tx>
          <c:spPr>
            <a:solidFill>
              <a:schemeClr val="accent6"/>
            </a:solidFill>
            <a:ln/>
            <a:effectLst/>
            <a:sp3d/>
          </c:spPr>
          <c:cat>
            <c:strRef>
              <c:f>גיליון4!$F$4:$F$12</c:f>
              <c:strCache>
                <c:ptCount val="8"/>
                <c:pt idx="0">
                  <c:v>1</c:v>
                </c:pt>
                <c:pt idx="1">
                  <c:v>6</c:v>
                </c:pt>
                <c:pt idx="2">
                  <c:v>11</c:v>
                </c:pt>
                <c:pt idx="3">
                  <c:v>16</c:v>
                </c:pt>
                <c:pt idx="4">
                  <c:v>21</c:v>
                </c:pt>
                <c:pt idx="5">
                  <c:v>26</c:v>
                </c:pt>
                <c:pt idx="6">
                  <c:v>31</c:v>
                </c:pt>
                <c:pt idx="7">
                  <c:v>36</c:v>
                </c:pt>
              </c:strCache>
            </c:strRef>
          </c:cat>
          <c:val>
            <c:numRef>
              <c:f>גיליון4!$L$4:$L$12</c:f>
              <c:numCache>
                <c:formatCode>General</c:formatCode>
                <c:ptCount val="8"/>
                <c:pt idx="0">
                  <c:v>0</c:v>
                </c:pt>
                <c:pt idx="1">
                  <c:v>-19115</c:v>
                </c:pt>
                <c:pt idx="2">
                  <c:v>-37355</c:v>
                </c:pt>
                <c:pt idx="3">
                  <c:v>-30485</c:v>
                </c:pt>
                <c:pt idx="4">
                  <c:v>-35055</c:v>
                </c:pt>
                <c:pt idx="5">
                  <c:v>-29915</c:v>
                </c:pt>
                <c:pt idx="6">
                  <c:v>-34205</c:v>
                </c:pt>
                <c:pt idx="7">
                  <c:v>-32585</c:v>
                </c:pt>
              </c:numCache>
            </c:numRef>
          </c:val>
          <c:extLst>
            <c:ext xmlns:c16="http://schemas.microsoft.com/office/drawing/2014/chart" uri="{C3380CC4-5D6E-409C-BE32-E72D297353CC}">
              <c16:uniqueId val="{00000005-C0CA-4EF0-A9E0-E461592B4C7D}"/>
            </c:ext>
          </c:extLst>
        </c:ser>
        <c:ser>
          <c:idx val="6"/>
          <c:order val="6"/>
          <c:tx>
            <c:strRef>
              <c:f>גיליון4!$M$2:$M$3</c:f>
              <c:strCache>
                <c:ptCount val="1"/>
                <c:pt idx="0">
                  <c:v>7</c:v>
                </c:pt>
              </c:strCache>
            </c:strRef>
          </c:tx>
          <c:spPr>
            <a:solidFill>
              <a:schemeClr val="accent1">
                <a:lumMod val="60000"/>
              </a:schemeClr>
            </a:solidFill>
            <a:ln/>
            <a:effectLst/>
            <a:sp3d/>
          </c:spPr>
          <c:cat>
            <c:strRef>
              <c:f>גיליון4!$F$4:$F$12</c:f>
              <c:strCache>
                <c:ptCount val="8"/>
                <c:pt idx="0">
                  <c:v>1</c:v>
                </c:pt>
                <c:pt idx="1">
                  <c:v>6</c:v>
                </c:pt>
                <c:pt idx="2">
                  <c:v>11</c:v>
                </c:pt>
                <c:pt idx="3">
                  <c:v>16</c:v>
                </c:pt>
                <c:pt idx="4">
                  <c:v>21</c:v>
                </c:pt>
                <c:pt idx="5">
                  <c:v>26</c:v>
                </c:pt>
                <c:pt idx="6">
                  <c:v>31</c:v>
                </c:pt>
                <c:pt idx="7">
                  <c:v>36</c:v>
                </c:pt>
              </c:strCache>
            </c:strRef>
          </c:cat>
          <c:val>
            <c:numRef>
              <c:f>גיליון4!$M$4:$M$12</c:f>
              <c:numCache>
                <c:formatCode>General</c:formatCode>
                <c:ptCount val="8"/>
                <c:pt idx="0">
                  <c:v>0</c:v>
                </c:pt>
                <c:pt idx="1">
                  <c:v>-19115</c:v>
                </c:pt>
                <c:pt idx="2">
                  <c:v>-32775</c:v>
                </c:pt>
                <c:pt idx="3">
                  <c:v>-30485</c:v>
                </c:pt>
                <c:pt idx="4">
                  <c:v>-35055</c:v>
                </c:pt>
                <c:pt idx="5">
                  <c:v>-32575</c:v>
                </c:pt>
                <c:pt idx="6">
                  <c:v>-36415</c:v>
                </c:pt>
                <c:pt idx="7">
                  <c:v>-33385</c:v>
                </c:pt>
              </c:numCache>
            </c:numRef>
          </c:val>
          <c:extLst>
            <c:ext xmlns:c16="http://schemas.microsoft.com/office/drawing/2014/chart" uri="{C3380CC4-5D6E-409C-BE32-E72D297353CC}">
              <c16:uniqueId val="{00000006-C0CA-4EF0-A9E0-E461592B4C7D}"/>
            </c:ext>
          </c:extLst>
        </c:ser>
        <c:ser>
          <c:idx val="7"/>
          <c:order val="7"/>
          <c:tx>
            <c:strRef>
              <c:f>גיליון4!$N$2:$N$3</c:f>
              <c:strCache>
                <c:ptCount val="1"/>
                <c:pt idx="0">
                  <c:v>8</c:v>
                </c:pt>
              </c:strCache>
            </c:strRef>
          </c:tx>
          <c:spPr>
            <a:solidFill>
              <a:schemeClr val="accent2">
                <a:lumMod val="60000"/>
              </a:schemeClr>
            </a:solidFill>
            <a:ln/>
            <a:effectLst/>
            <a:sp3d/>
          </c:spPr>
          <c:cat>
            <c:strRef>
              <c:f>גיליון4!$F$4:$F$12</c:f>
              <c:strCache>
                <c:ptCount val="8"/>
                <c:pt idx="0">
                  <c:v>1</c:v>
                </c:pt>
                <c:pt idx="1">
                  <c:v>6</c:v>
                </c:pt>
                <c:pt idx="2">
                  <c:v>11</c:v>
                </c:pt>
                <c:pt idx="3">
                  <c:v>16</c:v>
                </c:pt>
                <c:pt idx="4">
                  <c:v>21</c:v>
                </c:pt>
                <c:pt idx="5">
                  <c:v>26</c:v>
                </c:pt>
                <c:pt idx="6">
                  <c:v>31</c:v>
                </c:pt>
                <c:pt idx="7">
                  <c:v>36</c:v>
                </c:pt>
              </c:strCache>
            </c:strRef>
          </c:cat>
          <c:val>
            <c:numRef>
              <c:f>גיליון4!$N$4:$N$12</c:f>
              <c:numCache>
                <c:formatCode>General</c:formatCode>
                <c:ptCount val="8"/>
                <c:pt idx="0">
                  <c:v>0</c:v>
                </c:pt>
                <c:pt idx="1">
                  <c:v>-19115</c:v>
                </c:pt>
                <c:pt idx="2">
                  <c:v>-32775</c:v>
                </c:pt>
                <c:pt idx="3">
                  <c:v>-31465</c:v>
                </c:pt>
                <c:pt idx="4">
                  <c:v>-38155</c:v>
                </c:pt>
                <c:pt idx="5">
                  <c:v>-34095</c:v>
                </c:pt>
                <c:pt idx="6">
                  <c:v>-39925</c:v>
                </c:pt>
                <c:pt idx="7">
                  <c:v>-35435</c:v>
                </c:pt>
              </c:numCache>
            </c:numRef>
          </c:val>
          <c:extLst>
            <c:ext xmlns:c16="http://schemas.microsoft.com/office/drawing/2014/chart" uri="{C3380CC4-5D6E-409C-BE32-E72D297353CC}">
              <c16:uniqueId val="{00000007-C0CA-4EF0-A9E0-E461592B4C7D}"/>
            </c:ext>
          </c:extLst>
        </c:ser>
        <c:ser>
          <c:idx val="8"/>
          <c:order val="8"/>
          <c:tx>
            <c:strRef>
              <c:f>גיליון4!$O$2:$O$3</c:f>
              <c:strCache>
                <c:ptCount val="1"/>
                <c:pt idx="0">
                  <c:v>9</c:v>
                </c:pt>
              </c:strCache>
            </c:strRef>
          </c:tx>
          <c:spPr>
            <a:solidFill>
              <a:schemeClr val="accent3">
                <a:lumMod val="60000"/>
              </a:schemeClr>
            </a:solidFill>
            <a:ln/>
            <a:effectLst/>
            <a:sp3d/>
          </c:spPr>
          <c:cat>
            <c:strRef>
              <c:f>גיליון4!$F$4:$F$12</c:f>
              <c:strCache>
                <c:ptCount val="8"/>
                <c:pt idx="0">
                  <c:v>1</c:v>
                </c:pt>
                <c:pt idx="1">
                  <c:v>6</c:v>
                </c:pt>
                <c:pt idx="2">
                  <c:v>11</c:v>
                </c:pt>
                <c:pt idx="3">
                  <c:v>16</c:v>
                </c:pt>
                <c:pt idx="4">
                  <c:v>21</c:v>
                </c:pt>
                <c:pt idx="5">
                  <c:v>26</c:v>
                </c:pt>
                <c:pt idx="6">
                  <c:v>31</c:v>
                </c:pt>
                <c:pt idx="7">
                  <c:v>36</c:v>
                </c:pt>
              </c:strCache>
            </c:strRef>
          </c:cat>
          <c:val>
            <c:numRef>
              <c:f>גיליון4!$O$4:$O$12</c:f>
              <c:numCache>
                <c:formatCode>General</c:formatCode>
                <c:ptCount val="8"/>
                <c:pt idx="0">
                  <c:v>0</c:v>
                </c:pt>
                <c:pt idx="1">
                  <c:v>-19115</c:v>
                </c:pt>
                <c:pt idx="2">
                  <c:v>-32815</c:v>
                </c:pt>
                <c:pt idx="3">
                  <c:v>-33135</c:v>
                </c:pt>
                <c:pt idx="4">
                  <c:v>-41165</c:v>
                </c:pt>
                <c:pt idx="5">
                  <c:v>-36325</c:v>
                </c:pt>
                <c:pt idx="6">
                  <c:v>-41345</c:v>
                </c:pt>
                <c:pt idx="7">
                  <c:v>-35425</c:v>
                </c:pt>
              </c:numCache>
            </c:numRef>
          </c:val>
          <c:extLst>
            <c:ext xmlns:c16="http://schemas.microsoft.com/office/drawing/2014/chart" uri="{C3380CC4-5D6E-409C-BE32-E72D297353CC}">
              <c16:uniqueId val="{00000008-C0CA-4EF0-A9E0-E461592B4C7D}"/>
            </c:ext>
          </c:extLst>
        </c:ser>
        <c:ser>
          <c:idx val="9"/>
          <c:order val="9"/>
          <c:tx>
            <c:strRef>
              <c:f>גיליון4!$P$2:$P$3</c:f>
              <c:strCache>
                <c:ptCount val="1"/>
                <c:pt idx="0">
                  <c:v>10</c:v>
                </c:pt>
              </c:strCache>
            </c:strRef>
          </c:tx>
          <c:spPr>
            <a:solidFill>
              <a:schemeClr val="accent4">
                <a:lumMod val="60000"/>
              </a:schemeClr>
            </a:solidFill>
            <a:ln/>
            <a:effectLst/>
            <a:sp3d/>
          </c:spPr>
          <c:cat>
            <c:strRef>
              <c:f>גיליון4!$F$4:$F$12</c:f>
              <c:strCache>
                <c:ptCount val="8"/>
                <c:pt idx="0">
                  <c:v>1</c:v>
                </c:pt>
                <c:pt idx="1">
                  <c:v>6</c:v>
                </c:pt>
                <c:pt idx="2">
                  <c:v>11</c:v>
                </c:pt>
                <c:pt idx="3">
                  <c:v>16</c:v>
                </c:pt>
                <c:pt idx="4">
                  <c:v>21</c:v>
                </c:pt>
                <c:pt idx="5">
                  <c:v>26</c:v>
                </c:pt>
                <c:pt idx="6">
                  <c:v>31</c:v>
                </c:pt>
                <c:pt idx="7">
                  <c:v>36</c:v>
                </c:pt>
              </c:strCache>
            </c:strRef>
          </c:cat>
          <c:val>
            <c:numRef>
              <c:f>גיליון4!$P$4:$P$12</c:f>
              <c:numCache>
                <c:formatCode>General</c:formatCode>
                <c:ptCount val="8"/>
                <c:pt idx="0">
                  <c:v>0</c:v>
                </c:pt>
                <c:pt idx="1">
                  <c:v>-19115</c:v>
                </c:pt>
                <c:pt idx="2">
                  <c:v>-37525</c:v>
                </c:pt>
                <c:pt idx="3">
                  <c:v>-30065</c:v>
                </c:pt>
                <c:pt idx="4">
                  <c:v>-39675</c:v>
                </c:pt>
                <c:pt idx="5">
                  <c:v>-36665</c:v>
                </c:pt>
                <c:pt idx="6">
                  <c:v>-42085</c:v>
                </c:pt>
                <c:pt idx="7">
                  <c:v>-35075</c:v>
                </c:pt>
              </c:numCache>
            </c:numRef>
          </c:val>
          <c:extLst>
            <c:ext xmlns:c16="http://schemas.microsoft.com/office/drawing/2014/chart" uri="{C3380CC4-5D6E-409C-BE32-E72D297353CC}">
              <c16:uniqueId val="{00000009-C0CA-4EF0-A9E0-E461592B4C7D}"/>
            </c:ext>
          </c:extLst>
        </c:ser>
        <c:bandFmts>
          <c:bandFmt>
            <c:idx val="0"/>
            <c:spPr>
              <a:solidFill>
                <a:schemeClr val="accent1"/>
              </a:solidFill>
              <a:ln/>
              <a:effectLst/>
              <a:sp3d/>
            </c:spPr>
          </c:bandFmt>
          <c:bandFmt>
            <c:idx val="1"/>
            <c:spPr>
              <a:solidFill>
                <a:schemeClr val="accent2"/>
              </a:solidFill>
              <a:ln/>
              <a:effectLst/>
              <a:sp3d/>
            </c:spPr>
          </c:bandFmt>
          <c:bandFmt>
            <c:idx val="2"/>
            <c:spPr>
              <a:solidFill>
                <a:schemeClr val="accent3"/>
              </a:solidFill>
              <a:ln/>
              <a:effectLst/>
              <a:sp3d/>
            </c:spPr>
          </c:bandFmt>
          <c:bandFmt>
            <c:idx val="3"/>
            <c:spPr>
              <a:solidFill>
                <a:schemeClr val="accent4"/>
              </a:solidFill>
              <a:ln/>
              <a:effectLst/>
              <a:sp3d/>
            </c:spPr>
          </c:bandFmt>
          <c:bandFmt>
            <c:idx val="4"/>
            <c:spPr>
              <a:solidFill>
                <a:schemeClr val="accent5"/>
              </a:solidFill>
              <a:ln/>
              <a:effectLst/>
              <a:sp3d/>
            </c:spPr>
          </c:bandFmt>
          <c:bandFmt>
            <c:idx val="5"/>
            <c:spPr>
              <a:solidFill>
                <a:schemeClr val="accent6"/>
              </a:solidFill>
              <a:ln/>
              <a:effectLst/>
              <a:sp3d/>
            </c:spPr>
          </c:bandFmt>
          <c:bandFmt>
            <c:idx val="6"/>
            <c:spPr>
              <a:solidFill>
                <a:schemeClr val="accent1">
                  <a:lumMod val="60000"/>
                </a:schemeClr>
              </a:solidFill>
              <a:ln/>
              <a:effectLst/>
              <a:sp3d/>
            </c:spPr>
          </c:bandFmt>
          <c:bandFmt>
            <c:idx val="7"/>
            <c:spPr>
              <a:solidFill>
                <a:schemeClr val="accent2">
                  <a:lumMod val="60000"/>
                </a:schemeClr>
              </a:solidFill>
              <a:ln/>
              <a:effectLst/>
              <a:sp3d/>
            </c:spPr>
          </c:bandFmt>
        </c:bandFmts>
        <c:axId val="24164703"/>
        <c:axId val="24179391"/>
        <c:axId val="2116954783"/>
      </c:surface3DChart>
      <c:catAx>
        <c:axId val="24164703"/>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179391"/>
        <c:crosses val="autoZero"/>
        <c:auto val="1"/>
        <c:lblAlgn val="ctr"/>
        <c:lblOffset val="100"/>
        <c:noMultiLvlLbl val="0"/>
      </c:catAx>
      <c:valAx>
        <c:axId val="241793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164703"/>
        <c:crosses val="autoZero"/>
        <c:crossBetween val="midCat"/>
      </c:valAx>
      <c:serAx>
        <c:axId val="2116954783"/>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179391"/>
        <c:crosses val="autoZero"/>
      </c:serAx>
    </c:plotArea>
    <c:legend>
      <c:legendPos val="r"/>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txPr>
    <a:bodyPr/>
    <a:lstStyle/>
    <a:p>
      <a:pPr>
        <a:defRPr/>
      </a:pPr>
      <a:endParaRPr lang="en-US"/>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pivotSource>
    <c:name>[Stoploss op report.xlsx]graph!PivotTable2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Net profit/Max</a:t>
            </a:r>
            <a:r>
              <a:rPr lang="en-US" baseline="0"/>
              <a:t> drawdown</a:t>
            </a:r>
            <a:endParaRPr lang="he-I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graph!$F$1</c:f>
              <c:strCache>
                <c:ptCount val="1"/>
                <c:pt idx="0">
                  <c:v>סה"כ</c:v>
                </c:pt>
              </c:strCache>
            </c:strRef>
          </c:tx>
          <c:spPr>
            <a:solidFill>
              <a:schemeClr val="accent1"/>
            </a:solidFill>
            <a:ln>
              <a:noFill/>
            </a:ln>
            <a:effectLst/>
          </c:spPr>
          <c:invertIfNegative val="0"/>
          <c:cat>
            <c:strRef>
              <c:f>graph!$E$2:$E$32</c:f>
              <c:strCach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strCache>
            </c:strRef>
          </c:cat>
          <c:val>
            <c:numRef>
              <c:f>graph!$F$2:$F$32</c:f>
              <c:numCache>
                <c:formatCode>General</c:formatCode>
                <c:ptCount val="30"/>
                <c:pt idx="0">
                  <c:v>0.11326353507642349</c:v>
                </c:pt>
                <c:pt idx="1">
                  <c:v>2.1946984350272549</c:v>
                </c:pt>
                <c:pt idx="2">
                  <c:v>2.5141446436521107</c:v>
                </c:pt>
                <c:pt idx="3">
                  <c:v>2.0411686079816689</c:v>
                </c:pt>
                <c:pt idx="4">
                  <c:v>2.2175303437749836</c:v>
                </c:pt>
                <c:pt idx="5">
                  <c:v>2.9941458431557439</c:v>
                </c:pt>
                <c:pt idx="6">
                  <c:v>4.0951712521055583</c:v>
                </c:pt>
                <c:pt idx="7">
                  <c:v>3.8224920497253541</c:v>
                </c:pt>
                <c:pt idx="8">
                  <c:v>3.7042091889011846</c:v>
                </c:pt>
                <c:pt idx="9">
                  <c:v>3.3826018808777429</c:v>
                </c:pt>
                <c:pt idx="10">
                  <c:v>3.172633130357212</c:v>
                </c:pt>
                <c:pt idx="11">
                  <c:v>3.0811206202911272</c:v>
                </c:pt>
                <c:pt idx="12">
                  <c:v>3.1628946919269501</c:v>
                </c:pt>
                <c:pt idx="13">
                  <c:v>3.9643188323993064</c:v>
                </c:pt>
                <c:pt idx="14">
                  <c:v>3.5901410048009677</c:v>
                </c:pt>
                <c:pt idx="15">
                  <c:v>3.2436428772127002</c:v>
                </c:pt>
                <c:pt idx="16">
                  <c:v>3.1920996782364619</c:v>
                </c:pt>
                <c:pt idx="17">
                  <c:v>3.0533722782793413</c:v>
                </c:pt>
                <c:pt idx="18">
                  <c:v>2.6947958903691962</c:v>
                </c:pt>
                <c:pt idx="19">
                  <c:v>2.7153984069599977</c:v>
                </c:pt>
                <c:pt idx="20">
                  <c:v>2.6327184793611518</c:v>
                </c:pt>
                <c:pt idx="21">
                  <c:v>4.3737813648713439</c:v>
                </c:pt>
                <c:pt idx="22">
                  <c:v>4.1550402453047148</c:v>
                </c:pt>
                <c:pt idx="23">
                  <c:v>4.1324174775806144</c:v>
                </c:pt>
                <c:pt idx="24">
                  <c:v>4.1271347971942669</c:v>
                </c:pt>
                <c:pt idx="25">
                  <c:v>4.0263472606323338</c:v>
                </c:pt>
                <c:pt idx="26">
                  <c:v>3.8953556089393611</c:v>
                </c:pt>
                <c:pt idx="27">
                  <c:v>3.771187342580439</c:v>
                </c:pt>
                <c:pt idx="28">
                  <c:v>3.6530012108631724</c:v>
                </c:pt>
                <c:pt idx="29">
                  <c:v>3.5406819716407831</c:v>
                </c:pt>
              </c:numCache>
            </c:numRef>
          </c:val>
          <c:extLst>
            <c:ext xmlns:c16="http://schemas.microsoft.com/office/drawing/2014/chart" uri="{C3380CC4-5D6E-409C-BE32-E72D297353CC}">
              <c16:uniqueId val="{00000000-8B7C-4109-8631-B3201C5E55E6}"/>
            </c:ext>
          </c:extLst>
        </c:ser>
        <c:dLbls>
          <c:showLegendKey val="0"/>
          <c:showVal val="0"/>
          <c:showCatName val="0"/>
          <c:showSerName val="0"/>
          <c:showPercent val="0"/>
          <c:showBubbleSize val="0"/>
        </c:dLbls>
        <c:gapWidth val="219"/>
        <c:overlap val="-27"/>
        <c:axId val="1053780992"/>
        <c:axId val="1026423392"/>
      </c:barChart>
      <c:catAx>
        <c:axId val="1053780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26423392"/>
        <c:crosses val="autoZero"/>
        <c:auto val="1"/>
        <c:lblAlgn val="ctr"/>
        <c:lblOffset val="100"/>
        <c:noMultiLvlLbl val="0"/>
      </c:catAx>
      <c:valAx>
        <c:axId val="10264233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e-IL"/>
                  <a:t>אחוזים</a:t>
                </a:r>
                <a:r>
                  <a:rPr lang="he-IL" baseline="0"/>
                  <a:t> של </a:t>
                </a:r>
                <a:r>
                  <a:rPr lang="en-US" baseline="0"/>
                  <a:t>Stoploss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37809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B6FAB-122A-4571-ABEB-CCD592AEF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993</TotalTime>
  <Pages>15</Pages>
  <Words>1068</Words>
  <Characters>6089</Characters>
  <Application>Microsoft Office Word</Application>
  <DocSecurity>0</DocSecurity>
  <Lines>50</Lines>
  <Paragraphs>14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eliyahu levi</dc:creator>
  <cp:keywords/>
  <dc:description/>
  <cp:lastModifiedBy>eliyahu levi</cp:lastModifiedBy>
  <cp:revision>18</cp:revision>
  <dcterms:created xsi:type="dcterms:W3CDTF">2019-01-24T18:00:00Z</dcterms:created>
  <dcterms:modified xsi:type="dcterms:W3CDTF">2019-01-30T14:10:00Z</dcterms:modified>
</cp:coreProperties>
</file>