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999999"/>
          <w:sz w:val="18"/>
          <w:szCs w:val="18"/>
        </w:rPr>
        <w:t xml:space="preserve">THE BENCH  |  IKIGAI STUDIO</w:t>
      </w:r>
    </w:p>
    <w:p>
      <w:pPr>
        <w:spacing w:after="200" w:before="0"/>
      </w:pPr>
      <w:r>
        <w:rPr>
          <w:rFonts w:ascii="Arial" w:cs="Arial" w:eastAsia="Arial" w:hAnsi="Arial"/>
          <w:b/>
          <w:bCs/>
          <w:color w:val="111111"/>
          <w:sz w:val="48"/>
          <w:szCs w:val="48"/>
        </w:rPr>
        <w:t xml:space="preserve">AI Infrastructure Deep Dive</w:t>
      </w:r>
    </w:p>
    <w:p>
      <w:pPr>
        <w:spacing w:after="120" w:before="0"/>
      </w:pPr>
      <w:r>
        <w:rPr>
          <w:rFonts w:ascii="Arial" w:cs="Arial" w:eastAsia="Arial" w:hAnsi="Arial"/>
          <w:b w:val="false"/>
          <w:bCs w:val="false"/>
          <w:color w:val="444444"/>
          <w:sz w:val="32"/>
          <w:szCs w:val="32"/>
        </w:rPr>
        <w:t xml:space="preserve">The Picks and Shovels Portfolio</w:t>
      </w:r>
    </w:p>
    <w:p>
      <w:pPr>
        <w:spacing w:after="280" w:before="0"/>
      </w:pPr>
      <w:r>
        <w:rPr>
          <w:rFonts w:ascii="Arial" w:cs="Arial" w:eastAsia="Arial" w:hAnsi="Arial"/>
          <w:i/>
          <w:iCs/>
          <w:color w:val="888888"/>
          <w:sz w:val="18"/>
          <w:szCs w:val="18"/>
        </w:rPr>
        <w:t xml:space="preserve">AMAT  ·  KLAC  ·  VRT  ·  LRCX  ·  STX  ·  ASML  ·  EQT  ·  LITE  ·  SNDK  ·  CDNS  ·  AVGO  ·  CEG  ·  ANET  ·  SNPS  ·  ASTS</w:t>
      </w:r>
    </w:p>
    <w:p>
      <w:pPr>
        <w:spacing w:after="80" w:before="0"/>
      </w:pPr>
      <w:r>
        <w:rPr>
          <w:rFonts w:ascii="Arial" w:cs="Arial" w:eastAsia="Arial" w:hAnsi="Arial"/>
          <w:color w:val="999999"/>
          <w:sz w:val="18"/>
          <w:szCs w:val="18"/>
        </w:rPr>
        <w:t xml:space="preserve">March 15, 2026  ·  The Bench, Ikigai Studio  ·  Research Edition</w:t>
      </w:r>
    </w:p>
    <w:p>
      <w:pPr>
        <w:pBdr>
          <w:bottom w:val="single" w:color="CCCCCC" w:sz="6" w:space="1"/>
        </w:pBdr>
        <w:spacing w:after="120" w:before="120"/>
      </w:pPr>
    </w:p>
    <w:p>
      <w:pPr>
        <w:spacing w:after="160" w:before="0"/>
      </w:pPr>
    </w:p>
    <w:p>
      <w:pPr>
        <w:spacing w:after="240" w:before="0"/>
        <w:jc w:val="left"/>
      </w:pPr>
      <w:r>
        <w:rPr>
          <w:rFonts w:ascii="Arial" w:cs="Arial" w:eastAsia="Arial" w:hAnsi="Arial"/>
          <w:b/>
          <w:bCs/>
          <w:color w:val="333333"/>
          <w:sz w:val="24"/>
          <w:szCs w:val="24"/>
        </w:rPr>
        <w:t xml:space="preserve">Every gold rush in history had two kinds of winners: the miners and the people who sold them shovels. The AI buildout is the largest capital cycle of our lifetimes. We think the shovel-sellers win regardless of which model tops the leaderboard next month.</w:t>
      </w:r>
    </w:p>
    <w:p>
      <w:pPr>
        <w:spacing w:after="200" w:before="0"/>
        <w:jc w:val="left"/>
      </w:pPr>
      <w:r>
        <w:rPr>
          <w:rFonts w:ascii="Arial" w:cs="Arial" w:eastAsia="Arial" w:hAnsi="Arial"/>
          <w:color w:val="222222"/>
          <w:sz w:val="22"/>
          <w:szCs w:val="22"/>
        </w:rPr>
        <w:t xml:space="preserve">The fifteen companies in this essay are not bets on any single AI model or any single hyperscaler. They are bets on the physical and logical substrate that every model, every data center, every AI-generated inference must pass through. They are the toll roads. And right now, in March 2026, with markets rattled by oil shocks, Iran war premium, and a software sell-off that began in February, most of these toll roads are trading well below their all-time highs.</w:t>
      </w:r>
    </w:p>
    <w:p>
      <w:pPr>
        <w:spacing w:after="200" w:before="0"/>
        <w:jc w:val="left"/>
      </w:pPr>
      <w:r>
        <w:rPr>
          <w:rFonts w:ascii="Arial" w:cs="Arial" w:eastAsia="Arial" w:hAnsi="Arial"/>
          <w:color w:val="222222"/>
          <w:sz w:val="22"/>
          <w:szCs w:val="22"/>
        </w:rPr>
        <w:t xml:space="preserve">The benchmark for this essay is simple: does this company sit on a chokepoint? Does it have pricing power that compounds over time? And does the AI capex cycle — which Barclays now estimates is nowhere near its peak — structurally benefit what this company sells? If yes to all three, it earns a place on The Bench's radar.</w:t>
      </w:r>
    </w:p>
    <w:p>
      <w:pPr>
        <w:spacing w:after="200" w:before="0"/>
        <w:jc w:val="left"/>
      </w:pPr>
      <w:r>
        <w:rPr>
          <w:rFonts w:ascii="Arial" w:cs="Arial" w:eastAsia="Arial" w:hAnsi="Arial"/>
          <w:color w:val="222222"/>
          <w:sz w:val="22"/>
          <w:szCs w:val="22"/>
        </w:rPr>
        <w:t xml:space="preserve">We have organized this essay into four layers of the stack: the foundry and process equipment layer (the most upstream); the design and verification layer; the compute and network layer; and the power and connectivity layer. Each company is followed by a brief data card. We close with a thesis on how they fit together as a portfolio.</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Layer One: The Foundry Equipment Complex</w:t>
      </w:r>
    </w:p>
    <w:p>
      <w:pPr>
        <w:spacing w:after="280" w:before="0"/>
        <w:jc w:val="left"/>
      </w:pPr>
      <w:r>
        <w:rPr>
          <w:rFonts w:ascii="Arial" w:cs="Arial" w:eastAsia="Arial" w:hAnsi="Arial"/>
          <w:i/>
          <w:iCs/>
          <w:color w:val="777777"/>
          <w:sz w:val="22"/>
          <w:szCs w:val="22"/>
        </w:rPr>
        <w:t xml:space="preserve">You cannot build a chip without these machines. There is no substitute.</w:t>
      </w:r>
    </w:p>
    <w:p>
      <w:pPr>
        <w:spacing w:after="200" w:before="0"/>
        <w:jc w:val="left"/>
      </w:pPr>
      <w:r>
        <w:rPr>
          <w:rFonts w:ascii="Arial" w:cs="Arial" w:eastAsia="Arial" w:hAnsi="Arial"/>
          <w:color w:val="222222"/>
          <w:sz w:val="22"/>
          <w:szCs w:val="22"/>
        </w:rPr>
        <w:t xml:space="preserve">Before a single transistor can be etched, before a wafer runs a single computation, the physical machinery of semiconductor manufacturing must exist. This layer — applied materials science, lithography, and etch — is the most upstream and the least replaceable part of the entire AI stack. It is also, paradoxically, where some of the deepest pullbacks from all-time highs have occurred in early 2026, creating what we believe are compelling re-entry points.</w:t>
      </w:r>
    </w:p>
    <w:p>
      <w:pPr>
        <w:pStyle w:val="Heading2"/>
        <w:spacing w:after="160" w:before="320"/>
      </w:pPr>
      <w:r>
        <w:rPr>
          <w:rFonts w:ascii="Arial" w:cs="Arial" w:eastAsia="Arial" w:hAnsi="Arial"/>
          <w:b/>
          <w:bCs/>
          <w:color w:val="1A1A2E"/>
          <w:sz w:val="28"/>
          <w:szCs w:val="28"/>
        </w:rPr>
        <w:t xml:space="preserve">ASML  —  The Only Gatekeeper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ASML</w:t>
            </w:r>
          </w:p>
          <w:p>
            <w:r>
              <w:rPr>
                <w:rFonts w:ascii="Arial" w:cs="Arial" w:eastAsia="Arial" w:hAnsi="Arial"/>
                <w:color w:val="333333"/>
                <w:sz w:val="20"/>
                <w:szCs w:val="20"/>
              </w:rPr>
              <w:t xml:space="preserve">$1,384 (NASDAQ ADR) / €1,180 EUR</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$508 EUR – $1,313 EUR</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$537B USD  |  €1,400 avg PT (Strong Buy, 37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Sole supplier of EUV lithography worldwide</w:t>
            </w:r>
          </w:p>
        </w:tc>
      </w:tr>
    </w:tbl>
    <w:p>
      <w:pPr>
        <w:spacing w:after="160" w:before="0"/>
      </w:pPr>
    </w:p>
    <w:p>
      <w:pPr>
        <w:spacing w:after="200" w:before="0"/>
        <w:jc w:val="left"/>
      </w:pPr>
      <w:r>
        <w:rPr>
          <w:rFonts w:ascii="Arial" w:cs="Arial" w:eastAsia="Arial" w:hAnsi="Arial"/>
          <w:color w:val="222222"/>
          <w:sz w:val="22"/>
          <w:szCs w:val="22"/>
        </w:rPr>
        <w:t xml:space="preserve">There is one company on Earth that manufactures extreme ultraviolet lithography machines. That company is ASML. The machines cost upwards of $380 million each, require years on the order book to receive, and are composed of more than 100,000 custom parts assembled in Veldhoven, Netherlands. If you want to manufacture chips below 7nm — and AI demands chips at 3nm, 2nm, and approaching 1nm — you buy from ASML or you do not manufacture at all.</w:t>
      </w:r>
    </w:p>
    <w:p>
      <w:pPr>
        <w:spacing w:after="200" w:before="0"/>
        <w:jc w:val="left"/>
      </w:pPr>
      <w:r>
        <w:rPr>
          <w:rFonts w:ascii="Arial" w:cs="Arial" w:eastAsia="Arial" w:hAnsi="Arial"/>
          <w:color w:val="222222"/>
          <w:sz w:val="22"/>
          <w:szCs w:val="22"/>
        </w:rPr>
        <w:t xml:space="preserve">That structural monopoly is the most important fact in semiconductor investing. Q4 2025 earnings showed €7.5 billion in revenue with 51.6% gross margin. Management guided 2026 revenue at €34–39 billion and projected €44–60 billion by 2030. The backlog is enormous — ASML books orders years ahead of delivery, giving it multi-year revenue visibility that almost no company in tech can match. Earnings April 15.</w:t>
      </w:r>
    </w:p>
    <w:p>
      <w:pPr>
        <w:spacing w:after="200" w:before="0"/>
        <w:jc w:val="left"/>
      </w:pPr>
      <w:r>
        <w:rPr>
          <w:rFonts w:ascii="Arial" w:cs="Arial" w:eastAsia="Arial" w:hAnsi="Arial"/>
          <w:color w:val="222222"/>
          <w:sz w:val="22"/>
          <w:szCs w:val="22"/>
        </w:rPr>
        <w:t xml:space="preserve">The risks are real: China accounted for roughly 30% of 2025 revenue but is being actively restricted by Dutch export controls, with management guiding China toward 20% by 2026. That is a meaningful headwind. But the non-China world is accelerating: TSMC's Arizona fabs, Samsung's Texas ramp, Intel Foundry, and the entire reshoring wave all require EUV machines that have ASML's name on the invoice. A new 1,000-watt High-NA EUV light source strengthens the technology moat further into the Angstrom era.</w:t>
      </w:r>
    </w:p>
    <w:p>
      <w:pPr>
        <w:spacing w:after="200" w:before="0"/>
        <w:jc w:val="left"/>
      </w:pPr>
      <w:r>
        <w:rPr>
          <w:rFonts w:ascii="Arial" w:cs="Arial" w:eastAsia="Arial" w:hAnsi="Arial"/>
          <w:color w:val="222222"/>
          <w:sz w:val="22"/>
          <w:szCs w:val="22"/>
        </w:rPr>
        <w:t xml:space="preserve">Trading at roughly 44x forward earnings, it is not cheap. But structural monopolies rarely are. The 52-week low of €508 was April 2025 — the stock has more than doubled since then. At current levels it sits about 10% below its February ATH. That is, for this asset, a buying window.</w:t>
      </w:r>
    </w:p>
    <w:p>
      <w:pPr>
        <w:spacing w:after="160" w:before="0"/>
      </w:pPr>
    </w:p>
    <w:p>
      <w:pPr>
        <w:pStyle w:val="Heading2"/>
        <w:spacing w:after="160" w:before="320"/>
      </w:pPr>
      <w:r>
        <w:rPr>
          <w:rFonts w:ascii="Arial" w:cs="Arial" w:eastAsia="Arial" w:hAnsi="Arial"/>
          <w:b/>
          <w:bCs/>
          <w:color w:val="1A1A2E"/>
          <w:sz w:val="28"/>
          <w:szCs w:val="28"/>
        </w:rPr>
        <w:t xml:space="preserve">AMAT  —  The Generalist with a 20% Growth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AMAT</w:t>
            </w:r>
          </w:p>
          <w:p>
            <w:r>
              <w:rPr>
                <w:rFonts w:ascii="Arial" w:cs="Arial" w:eastAsia="Arial" w:hAnsi="Arial"/>
                <w:color w:val="333333"/>
                <w:sz w:val="20"/>
                <w:szCs w:val="20"/>
              </w:rPr>
              <w:t xml:space="preserve">~$325</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$124 – $396</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$271B  |  $335 avg PT (Buy, 28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WFE generalist: deposition, etch, CMP, inspection</w:t>
            </w:r>
          </w:p>
        </w:tc>
      </w:tr>
    </w:tbl>
    <w:p>
      <w:pPr>
        <w:spacing w:after="160" w:before="0"/>
      </w:pPr>
    </w:p>
    <w:p>
      <w:pPr>
        <w:spacing w:after="200" w:before="0"/>
        <w:jc w:val="left"/>
      </w:pPr>
      <w:r>
        <w:rPr>
          <w:rFonts w:ascii="Arial" w:cs="Arial" w:eastAsia="Arial" w:hAnsi="Arial"/>
          <w:color w:val="222222"/>
          <w:sz w:val="22"/>
          <w:szCs w:val="22"/>
        </w:rPr>
        <w:t xml:space="preserve">Applied Materials is the largest wafer fabrication equipment company in the world by revenue. Where ASML owns lithography, AMAT owns almost everything else: chemical vapor deposition, physical vapor deposition, chemical mechanical planarization, rapid thermal processing, ion implantation, metrology and inspection. If ASML is the single-beam lighthouse, AMAT is the entire harbor infrastructure.</w:t>
      </w:r>
    </w:p>
    <w:p>
      <w:pPr>
        <w:spacing w:after="200" w:before="0"/>
        <w:jc w:val="left"/>
      </w:pPr>
      <w:r>
        <w:rPr>
          <w:rFonts w:ascii="Arial" w:cs="Arial" w:eastAsia="Arial" w:hAnsi="Arial"/>
          <w:color w:val="222222"/>
          <w:sz w:val="22"/>
          <w:szCs w:val="22"/>
        </w:rPr>
        <w:t xml:space="preserve">The Q1 FY2026 result was strong. Revenue, margins, and cash flow all came in ahead of estimates. Management guided more than 20% equipment sales growth for calendar 2026 — a number that matches the commentary from Lam Research in January, suggesting the WFE supercycle thesis is coordinated industry-wide, not just one company talking its own book. The company raised its quarterly dividend 15% to $0.46 per share in early 2026 — its eighth consecutive annual increase — and has $14 billion remaining on its buyback authorization, having returned nearly $6.3 billion to shareholders in FY2025 alone.</w:t>
      </w:r>
    </w:p>
    <w:p>
      <w:pPr>
        <w:spacing w:after="200" w:before="0"/>
        <w:jc w:val="left"/>
      </w:pPr>
      <w:r>
        <w:rPr>
          <w:rFonts w:ascii="Arial" w:cs="Arial" w:eastAsia="Arial" w:hAnsi="Arial"/>
          <w:color w:val="222222"/>
          <w:sz w:val="22"/>
          <w:szCs w:val="22"/>
        </w:rPr>
        <w:t xml:space="preserve">AMAT's most strategically interesting moves in Q1 2026 were two partnerships announced in March: one with SK Hynix to accelerate advanced DRAM and HBM development, and one with Micron to develop next-generation NAND and HBM. Both announcements are signals that AMAT is embedding itself as a co-development partner — not merely a vendor — in the memory cycle that is now accelerating alongside AI. The shift to Gate-All-Around transistors at 2nm and below dramatically increases the number of deposition steps per wafer, which is pure revenue upside for AMAT.</w:t>
      </w:r>
    </w:p>
    <w:p>
      <w:pPr>
        <w:spacing w:after="200" w:before="0"/>
        <w:jc w:val="left"/>
      </w:pPr>
      <w:r>
        <w:rPr>
          <w:rFonts w:ascii="Arial" w:cs="Arial" w:eastAsia="Arial" w:hAnsi="Arial"/>
          <w:color w:val="222222"/>
          <w:sz w:val="22"/>
          <w:szCs w:val="22"/>
        </w:rPr>
        <w:t xml:space="preserve">At roughly $325, it sits about 18% below its February ATH of $396. The 20%+ growth guidance, rising capex commitments from TSMC, Samsung, and Micron, and the GAA inflection make this a stock we believe will revisit the ATH before mid-year.</w:t>
      </w:r>
    </w:p>
    <w:p>
      <w:pPr>
        <w:spacing w:after="160" w:before="0"/>
      </w:pPr>
    </w:p>
    <w:p>
      <w:pPr>
        <w:pStyle w:val="Heading2"/>
        <w:spacing w:after="160" w:before="320"/>
      </w:pPr>
      <w:r>
        <w:rPr>
          <w:rFonts w:ascii="Arial" w:cs="Arial" w:eastAsia="Arial" w:hAnsi="Arial"/>
          <w:b/>
          <w:bCs/>
          <w:color w:val="1A1A2E"/>
          <w:sz w:val="28"/>
          <w:szCs w:val="28"/>
        </w:rPr>
        <w:t xml:space="preserve">KLAC  —  The Yield Gatekeeper, Now Capital Return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KLAC</w:t>
            </w:r>
          </w:p>
          <w:p>
            <w:r>
              <w:rPr>
                <w:rFonts w:ascii="Arial" w:cs="Arial" w:eastAsia="Arial" w:hAnsi="Arial"/>
                <w:color w:val="333333"/>
                <w:sz w:val="20"/>
                <w:szCs w:val="20"/>
              </w:rPr>
              <w:t xml:space="preserve">~$1,418</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$551 – $1,693</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$186B  |  $1,676 avg PT (Buy, 19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Process control: inspection, metrology, yield management</w:t>
            </w:r>
          </w:p>
        </w:tc>
      </w:tr>
    </w:tbl>
    <w:p>
      <w:pPr>
        <w:spacing w:after="160" w:before="0"/>
      </w:pPr>
    </w:p>
    <w:p>
      <w:pPr>
        <w:spacing w:after="200" w:before="0"/>
        <w:jc w:val="left"/>
      </w:pPr>
      <w:r>
        <w:rPr>
          <w:rFonts w:ascii="Arial" w:cs="Arial" w:eastAsia="Arial" w:hAnsi="Arial"/>
          <w:color w:val="222222"/>
          <w:sz w:val="22"/>
          <w:szCs w:val="22"/>
        </w:rPr>
        <w:t xml:space="preserve">KLA Corporation does something that sounds mundane until you understand why it is irreplaceable: it finds defects. As chips approach 2nm and below, the number of possible failure modes on a single wafer multiplies exponentially. A particle smaller than a virus can destroy a die worth hundreds of dollars. KLA's inspection and metrology systems are the immune system of the fab — catching defects before they propagate, identifying process drift before yield degrades, and enabling the incremental refinements that allow chipmakers to go from 70% yield to 85% yield to 92% yield. That yield delta is worth billions to TSMC, Samsung, and Intel.</w:t>
      </w:r>
    </w:p>
    <w:p>
      <w:pPr>
        <w:spacing w:after="200" w:before="0"/>
        <w:jc w:val="left"/>
      </w:pPr>
      <w:r>
        <w:rPr>
          <w:rFonts w:ascii="Arial" w:cs="Arial" w:eastAsia="Arial" w:hAnsi="Arial"/>
          <w:color w:val="222222"/>
          <w:sz w:val="22"/>
          <w:szCs w:val="22"/>
        </w:rPr>
        <w:t xml:space="preserve">KLA's March 12 Investor Day was a landmark event. The company unveiled a new $7 billion share repurchase authorization, on top of the $3.94 billion already outstanding, and raised its quarterly dividend 21% to $2.30 per share. That is the kind of capital allocation statement that only comes from a company with enormous free cash flow confidence. EBITDA margin sits at 44.6% — best in class for WFE. Q2 FY2026 EPS of $8.85 beat estimates with a 0.67% surprise. Oppenheimer raised its price target to $1,900.</w:t>
      </w:r>
    </w:p>
    <w:p>
      <w:pPr>
        <w:spacing w:after="200" w:before="0"/>
        <w:jc w:val="left"/>
      </w:pPr>
      <w:r>
        <w:rPr>
          <w:rFonts w:ascii="Arial" w:cs="Arial" w:eastAsia="Arial" w:hAnsi="Arial"/>
          <w:color w:val="222222"/>
          <w:sz w:val="22"/>
          <w:szCs w:val="22"/>
        </w:rPr>
        <w:t xml:space="preserve">At current levels, KLAC trades about 16% below its January ATH. The process control market has a secular tailwind that is, if anything, more durable than the broader WFE market: every advanced node transition requires more inspection steps. The memory shortage that is currently driving the WFE cycle also increases the number of inspection steps per bit of capacity. KLA is one of the highest-quality businesses in the semiconductor supply chain — pricing power, EBITDA margins, capital returns — and it is currently on sale relative to where it will be when the cycle peaks.</w:t>
      </w:r>
    </w:p>
    <w:p>
      <w:pPr>
        <w:spacing w:after="160" w:before="0"/>
      </w:pPr>
    </w:p>
    <w:p>
      <w:pPr>
        <w:pStyle w:val="Heading2"/>
        <w:spacing w:after="160" w:before="320"/>
      </w:pPr>
      <w:r>
        <w:rPr>
          <w:rFonts w:ascii="Arial" w:cs="Arial" w:eastAsia="Arial" w:hAnsi="Arial"/>
          <w:b/>
          <w:bCs/>
          <w:color w:val="1A1A2E"/>
          <w:sz w:val="28"/>
          <w:szCs w:val="28"/>
        </w:rPr>
        <w:t xml:space="preserve">LRCX  —  The Digital Blacksmith of the AI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LRCX</w:t>
            </w:r>
          </w:p>
          <w:p>
            <w:r>
              <w:rPr>
                <w:rFonts w:ascii="Arial" w:cs="Arial" w:eastAsia="Arial" w:hAnsi="Arial"/>
                <w:color w:val="333333"/>
                <w:sz w:val="20"/>
                <w:szCs w:val="20"/>
              </w:rPr>
              <w:t xml:space="preserve">~$212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$56 – $257</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$265B  |  $275 avg PT (Buy, 27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Etch, deposition, memory fab equipment</w:t>
            </w:r>
          </w:p>
        </w:tc>
      </w:tr>
    </w:tbl>
    <w:p>
      <w:pPr>
        <w:spacing w:after="160" w:before="0"/>
      </w:pPr>
    </w:p>
    <w:p>
      <w:pPr>
        <w:spacing w:after="200" w:before="0"/>
        <w:jc w:val="left"/>
      </w:pPr>
      <w:r>
        <w:rPr>
          <w:rFonts w:ascii="Arial" w:cs="Arial" w:eastAsia="Arial" w:hAnsi="Arial"/>
          <w:color w:val="222222"/>
          <w:sz w:val="22"/>
          <w:szCs w:val="22"/>
        </w:rPr>
        <w:t xml:space="preserve">Lam Research is the dominant provider of etch and deposition equipment — the tools that carve and coat the layers of a modern chip. It is the company most directly leveraged to memory: DRAM, NAND, and particularly HBM (high-bandwidth memory). As AI models demand ever-more-parallel memory architectures — HBM3E for NVIDIA's Blackwell, HBM4 already in development — Lam's content per wafer goes up.</w:t>
      </w:r>
    </w:p>
    <w:p>
      <w:pPr>
        <w:spacing w:after="200" w:before="0"/>
        <w:jc w:val="left"/>
      </w:pPr>
      <w:r>
        <w:rPr>
          <w:rFonts w:ascii="Arial" w:cs="Arial" w:eastAsia="Arial" w:hAnsi="Arial"/>
          <w:color w:val="222222"/>
          <w:sz w:val="22"/>
          <w:szCs w:val="22"/>
        </w:rPr>
        <w:t xml:space="preserve">The FY2025 annual report showed record revenue of $20.6 billion, up 27% year-over-year, with gross margin at 49.9% and diluted EPS up 49%. That is not a cyclical bounce. That is structural expansion. Q2 FY2026 EPS came in at $1.33, a $0.13 beat. Q3 FY2026 guidance projects $5.7 billion in revenue, suggesting the acceleration is not slowing.</w:t>
      </w:r>
    </w:p>
    <w:p>
      <w:pPr>
        <w:spacing w:after="200" w:before="0"/>
        <w:jc w:val="left"/>
      </w:pPr>
      <w:r>
        <w:rPr>
          <w:rFonts w:ascii="Arial" w:cs="Arial" w:eastAsia="Arial" w:hAnsi="Arial"/>
          <w:color w:val="222222"/>
          <w:sz w:val="22"/>
          <w:szCs w:val="22"/>
        </w:rPr>
        <w:t xml:space="preserve">One analyst framing from Zacks captures it well: Lam is the digital blacksmith of the AI era. The transition to Gate-All-Around transistors multiplies the etch steps required per wafer. The etch intensity supercycle, their term, is a direct consequence of physics — you cannot build GAA without more etch. Lam's Customer Support Business Group (CSBG) provides roughly 30% of revenue as a recurring services floor, insulating it from the worst of cyclical downturns.</w:t>
      </w:r>
    </w:p>
    <w:p>
      <w:pPr>
        <w:spacing w:after="200" w:before="0"/>
        <w:jc w:val="left"/>
      </w:pPr>
      <w:r>
        <w:rPr>
          <w:rFonts w:ascii="Arial" w:cs="Arial" w:eastAsia="Arial" w:hAnsi="Arial"/>
          <w:color w:val="222222"/>
          <w:sz w:val="22"/>
          <w:szCs w:val="22"/>
        </w:rPr>
        <w:t xml:space="preserve">At roughly $212, it has pulled back about 17% from the February ATH of $257. The forward P/E of around 40x is reasonable for a company growing earnings 49% year-over-year. Analyst consensus price targets cluster around $275, implying 30%+ upside from current levels.</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Layer Two: Design Intelligence — EDA and Custom Silicon</w:t>
      </w:r>
    </w:p>
    <w:p>
      <w:pPr>
        <w:spacing w:after="280" w:before="0"/>
        <w:jc w:val="left"/>
      </w:pPr>
      <w:r>
        <w:rPr>
          <w:rFonts w:ascii="Arial" w:cs="Arial" w:eastAsia="Arial" w:hAnsi="Arial"/>
          <w:i/>
          <w:iCs/>
          <w:color w:val="777777"/>
          <w:sz w:val="22"/>
          <w:szCs w:val="22"/>
        </w:rPr>
        <w:t xml:space="preserve">Before a chip is fabricated, it must be designed. These companies own the design layer.</w:t>
      </w:r>
    </w:p>
    <w:p>
      <w:pPr>
        <w:spacing w:after="200" w:before="0"/>
        <w:jc w:val="left"/>
      </w:pPr>
      <w:r>
        <w:rPr>
          <w:rFonts w:ascii="Arial" w:cs="Arial" w:eastAsia="Arial" w:hAnsi="Arial"/>
          <w:color w:val="222222"/>
          <w:sz w:val="22"/>
          <w:szCs w:val="22"/>
        </w:rPr>
        <w:t xml:space="preserve">The AI buildout has created a gold rush for custom silicon: hyperscalers who once bought merchant chips are now designing their own ASICs — Google's TPU, Amazon's Trainium and Inferentia, Microsoft's Maia, Meta's MTIA. Every one of those custom chips was designed using EDA software. Every one of them required physical verification, timing analysis, and power estimation tools. CDNS and SNPS are, together, a near-duopoly on the software that makes custom chip design possible at all.</w:t>
      </w:r>
    </w:p>
    <w:p>
      <w:pPr>
        <w:pStyle w:val="Heading2"/>
        <w:spacing w:after="160" w:before="320"/>
      </w:pPr>
      <w:r>
        <w:rPr>
          <w:rFonts w:ascii="Arial" w:cs="Arial" w:eastAsia="Arial" w:hAnsi="Arial"/>
          <w:b/>
          <w:bCs/>
          <w:color w:val="1A1A2E"/>
          <w:sz w:val="28"/>
          <w:szCs w:val="28"/>
        </w:rPr>
        <w:t xml:space="preserve">CDNS  —  The Custom Chip Enabler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CDNS</w:t>
            </w:r>
          </w:p>
          <w:p>
            <w:r>
              <w:rPr>
                <w:rFonts w:ascii="Arial" w:cs="Arial" w:eastAsia="Arial" w:hAnsi="Arial"/>
                <w:color w:val="333333"/>
                <w:sz w:val="20"/>
                <w:szCs w:val="20"/>
              </w:rPr>
              <w:t xml:space="preserve">~$290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$222 – $376</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$79B  |  $380 avg PT (Strong Buy, 21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EDA: RTL-to-GDSII, verification, AI chip design</w:t>
            </w:r>
          </w:p>
        </w:tc>
      </w:tr>
    </w:tbl>
    <w:p>
      <w:pPr>
        <w:spacing w:after="160" w:before="0"/>
      </w:pPr>
    </w:p>
    <w:p>
      <w:pPr>
        <w:spacing w:after="200" w:before="0"/>
        <w:jc w:val="left"/>
      </w:pPr>
      <w:r>
        <w:rPr>
          <w:rFonts w:ascii="Arial" w:cs="Arial" w:eastAsia="Arial" w:hAnsi="Arial"/>
          <w:color w:val="222222"/>
          <w:sz w:val="22"/>
          <w:szCs w:val="22"/>
        </w:rPr>
        <w:t xml:space="preserve">Cadence Design Systems provides the software environment in which chips are designed, verified, and signed off. Its Genus synthesis tool, Xcelium simulator, Palladium emulation platform, and Virtuoso IC design suite are as embedded in semiconductor R&amp;D as Excel is in corporate finance. When a chip engineer at Google or Apple opens their laptop in the morning, there is a high probability they are staring at a Cadence interface.</w:t>
      </w:r>
    </w:p>
    <w:p>
      <w:pPr>
        <w:spacing w:after="200" w:before="0"/>
        <w:jc w:val="left"/>
      </w:pPr>
      <w:r>
        <w:rPr>
          <w:rFonts w:ascii="Arial" w:cs="Arial" w:eastAsia="Arial" w:hAnsi="Arial"/>
          <w:color w:val="222222"/>
          <w:sz w:val="22"/>
          <w:szCs w:val="22"/>
        </w:rPr>
        <w:t xml:space="preserve">The custom chip boom created a direct revenue tailwind for Cadence: more custom silicon means more design licenses, more emulation hardware, more verification cycles. The Q4 FY2025 earnings beat on February 18, 2026 validated the thesis — shares popped as CEO Anirudh Devgan explicitly cited AI demand driving growth. The company also announced a chiplet partner ecosystem in March, reducing engineering complexity for chiplet-based designs, which is the primary architecture for the next generation of AI accelerators.</w:t>
      </w:r>
    </w:p>
    <w:p>
      <w:pPr>
        <w:spacing w:after="200" w:before="0"/>
        <w:jc w:val="left"/>
      </w:pPr>
      <w:r>
        <w:rPr>
          <w:rFonts w:ascii="Arial" w:cs="Arial" w:eastAsia="Arial" w:hAnsi="Arial"/>
          <w:color w:val="222222"/>
          <w:sz w:val="22"/>
          <w:szCs w:val="22"/>
        </w:rPr>
        <w:t xml:space="preserve">52-week range of $222 to $376. Current price around $290 represents roughly 23% below the ATH. The analyst consensus price target of $380 implies about 31% upside. The software sell-off of February 2026 — driven by fears that AI would displace enterprise software — actually hit CDNS unfairly, since EDA is AI's enabler, not its victim. Cadence was explicitly cited as a beneficiary by Jensen Huang when he said markets got AI's impact on software wrong.</w:t>
      </w:r>
    </w:p>
    <w:p>
      <w:pPr>
        <w:spacing w:after="160" w:before="0"/>
      </w:pPr>
    </w:p>
    <w:p>
      <w:pPr>
        <w:pStyle w:val="Heading2"/>
        <w:spacing w:after="160" w:before="320"/>
      </w:pPr>
      <w:r>
        <w:rPr>
          <w:rFonts w:ascii="Arial" w:cs="Arial" w:eastAsia="Arial" w:hAnsi="Arial"/>
          <w:b/>
          <w:bCs/>
          <w:color w:val="1A1A2E"/>
          <w:sz w:val="28"/>
          <w:szCs w:val="28"/>
        </w:rPr>
        <w:t xml:space="preserve">SNPS  —  The Other Half of the EDA Duopoly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SNPS</w:t>
            </w:r>
          </w:p>
          <w:p>
            <w:r>
              <w:rPr>
                <w:rFonts w:ascii="Arial" w:cs="Arial" w:eastAsia="Arial" w:hAnsi="Arial"/>
                <w:color w:val="333333"/>
                <w:sz w:val="20"/>
                <w:szCs w:val="20"/>
              </w:rPr>
              <w:t xml:space="preserve">~$520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$410 – $680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$80B  |  $620 avg PT (Strong Buy)</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EDA: synthesis, simulation, IP, Ansys merger pending</w:t>
            </w:r>
          </w:p>
        </w:tc>
      </w:tr>
    </w:tbl>
    <w:p>
      <w:pPr>
        <w:spacing w:after="160" w:before="0"/>
      </w:pPr>
    </w:p>
    <w:p>
      <w:pPr>
        <w:spacing w:after="200" w:before="0"/>
        <w:jc w:val="left"/>
      </w:pPr>
      <w:r>
        <w:rPr>
          <w:rFonts w:ascii="Arial" w:cs="Arial" w:eastAsia="Arial" w:hAnsi="Arial"/>
          <w:color w:val="222222"/>
          <w:sz w:val="22"/>
          <w:szCs w:val="22"/>
        </w:rPr>
        <w:t xml:space="preserve">Synopsys occupies the same essential position as Cadence but with a slightly different product mix and a pending merger with Ansys — the simulation software company — that, if completed, would create a comprehensive physics-to-silicon design platform. The Ansys merger has faced regulatory scrutiny but remains active.</w:t>
      </w:r>
    </w:p>
    <w:p>
      <w:pPr>
        <w:spacing w:after="200" w:before="0"/>
        <w:jc w:val="left"/>
      </w:pPr>
      <w:r>
        <w:rPr>
          <w:rFonts w:ascii="Arial" w:cs="Arial" w:eastAsia="Arial" w:hAnsi="Arial"/>
          <w:color w:val="222222"/>
          <w:sz w:val="22"/>
          <w:szCs w:val="22"/>
        </w:rPr>
        <w:t xml:space="preserve">Synopsys's core EDA suite — Design Compiler, VCS simulator, PrimeTime — handles the most computationally intensive verification tasks for advanced node chips. Its IP portfolio, which provides pre-designed and verified circuit blocks that design teams license to accelerate their work, is a recurring revenue stream that grows as more companies build custom silicon.</w:t>
      </w:r>
    </w:p>
    <w:p>
      <w:pPr>
        <w:spacing w:after="200" w:before="0"/>
        <w:jc w:val="left"/>
      </w:pPr>
      <w:r>
        <w:rPr>
          <w:rFonts w:ascii="Arial" w:cs="Arial" w:eastAsia="Arial" w:hAnsi="Arial"/>
          <w:color w:val="222222"/>
          <w:sz w:val="22"/>
          <w:szCs w:val="22"/>
        </w:rPr>
        <w:t xml:space="preserve">Like Cadence, it was caught in the February software sell-off despite having fundamentals entirely disconnected from the AI disruption narrative. Current price of roughly $520 sits about 24% below the 52-week high. The Ansys merger, if cleared, would be one of the most significant structural expansions of an EDA vendor's addressable market in the industry's history — extending from chip design into mechanical, fluid, and electromagnetic simulation.</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Layer Three: Compute, Networking and Memory</w:t>
      </w:r>
    </w:p>
    <w:p>
      <w:pPr>
        <w:spacing w:after="280" w:before="0"/>
        <w:jc w:val="left"/>
      </w:pPr>
      <w:r>
        <w:rPr>
          <w:rFonts w:ascii="Arial" w:cs="Arial" w:eastAsia="Arial" w:hAnsi="Arial"/>
          <w:i/>
          <w:iCs/>
          <w:color w:val="777777"/>
          <w:sz w:val="22"/>
          <w:szCs w:val="22"/>
        </w:rPr>
        <w:t xml:space="preserve">The physical infrastructure of AI inference and training: the chips, the switches, and the storage.</w:t>
      </w:r>
    </w:p>
    <w:p>
      <w:pPr>
        <w:pStyle w:val="Heading2"/>
        <w:spacing w:after="160" w:before="320"/>
      </w:pPr>
      <w:r>
        <w:rPr>
          <w:rFonts w:ascii="Arial" w:cs="Arial" w:eastAsia="Arial" w:hAnsi="Arial"/>
          <w:b/>
          <w:bCs/>
          <w:color w:val="1A1A2E"/>
          <w:sz w:val="28"/>
          <w:szCs w:val="28"/>
        </w:rPr>
        <w:t xml:space="preserve">AVGO  —  The Custom Silicon Kingmaker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AVGO</w:t>
            </w:r>
          </w:p>
          <w:p>
            <w:r>
              <w:rPr>
                <w:rFonts w:ascii="Arial" w:cs="Arial" w:eastAsia="Arial" w:hAnsi="Arial"/>
                <w:color w:val="333333"/>
                <w:sz w:val="20"/>
                <w:szCs w:val="20"/>
              </w:rPr>
              <w:t xml:space="preserve">~$321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$138 – $415</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$1.5T  |  Strong Buy consensus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Custom AI ASICs: Google TPU, Meta MTIA, Apple</w:t>
            </w:r>
          </w:p>
        </w:tc>
      </w:tr>
    </w:tbl>
    <w:p>
      <w:pPr>
        <w:spacing w:after="160" w:before="0"/>
      </w:pPr>
    </w:p>
    <w:p>
      <w:pPr>
        <w:spacing w:after="200" w:before="0"/>
        <w:jc w:val="left"/>
      </w:pPr>
      <w:r>
        <w:rPr>
          <w:rFonts w:ascii="Arial" w:cs="Arial" w:eastAsia="Arial" w:hAnsi="Arial"/>
          <w:color w:val="222222"/>
          <w:sz w:val="22"/>
          <w:szCs w:val="22"/>
        </w:rPr>
        <w:t xml:space="preserve">Broadcom is one of the most important companies in AI infrastructure that most retail investors still underestimate. It is not a GPU company. It is something arguably more defensible: the custom ASIC partner of choice for hyperscalers who want AI accelerators optimized for their specific workloads rather than the general-purpose compute that NVIDIA sells.</w:t>
      </w:r>
    </w:p>
    <w:p>
      <w:pPr>
        <w:spacing w:after="200" w:before="0"/>
        <w:jc w:val="left"/>
      </w:pPr>
      <w:r>
        <w:rPr>
          <w:rFonts w:ascii="Arial" w:cs="Arial" w:eastAsia="Arial" w:hAnsi="Arial"/>
          <w:color w:val="222222"/>
          <w:sz w:val="22"/>
          <w:szCs w:val="22"/>
        </w:rPr>
        <w:t xml:space="preserve">Google's TPU, Meta's MTIA, and Apple's Neural Engine all run on silicon that Broadcom co-designed or fabricated. Broadcom's networking switches — Tomahawk 6, now shipping in production volume — interconnect AI clusters. Its Jericho routing silicon powers the spine fabric of the largest AI training clusters in the world. The company also provides AI Ethernet fabric architecture that competes directly with NVIDIA's InfiniBand.</w:t>
      </w:r>
    </w:p>
    <w:p>
      <w:pPr>
        <w:spacing w:after="200" w:before="0"/>
        <w:jc w:val="left"/>
      </w:pPr>
      <w:r>
        <w:rPr>
          <w:rFonts w:ascii="Arial" w:cs="Arial" w:eastAsia="Arial" w:hAnsi="Arial"/>
          <w:color w:val="222222"/>
          <w:sz w:val="22"/>
          <w:szCs w:val="22"/>
        </w:rPr>
        <w:t xml:space="preserve">Q1 FY2026 earnings beat handily. AI revenue is, in the CFO's own words, exploding with no signs of slowing down. The Tomahawk 6 announcement in March 2026 — doubling AI data speeds — was a direct signal that Broadcom is competing at the architecture level, not just the silicon level. Goldman Sachs added it to its US Conviction List in early March.</w:t>
      </w:r>
    </w:p>
    <w:p>
      <w:pPr>
        <w:spacing w:after="200" w:before="0"/>
        <w:jc w:val="left"/>
      </w:pPr>
      <w:r>
        <w:rPr>
          <w:rFonts w:ascii="Arial" w:cs="Arial" w:eastAsia="Arial" w:hAnsi="Arial"/>
          <w:color w:val="222222"/>
          <w:sz w:val="22"/>
          <w:szCs w:val="22"/>
        </w:rPr>
        <w:t xml:space="preserve">At $321, it trades roughly 22% below the $415 ATH. The 52-week low was $138. For a company with this revenue trajectory, the pull-back is an opportunity. The stock is not cheap — it is a $1.5 trillion company — but the custom ASIC story has a decade of runway.</w:t>
      </w:r>
    </w:p>
    <w:p>
      <w:pPr>
        <w:spacing w:after="160" w:before="0"/>
      </w:pPr>
    </w:p>
    <w:p>
      <w:pPr>
        <w:pStyle w:val="Heading2"/>
        <w:spacing w:after="160" w:before="320"/>
      </w:pPr>
      <w:r>
        <w:rPr>
          <w:rFonts w:ascii="Arial" w:cs="Arial" w:eastAsia="Arial" w:hAnsi="Arial"/>
          <w:b/>
          <w:bCs/>
          <w:color w:val="1A1A2E"/>
          <w:sz w:val="28"/>
          <w:szCs w:val="28"/>
        </w:rPr>
        <w:t xml:space="preserve">ANET  —  The AI Datacenter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ANET</w:t>
            </w:r>
          </w:p>
          <w:p>
            <w:r>
              <w:rPr>
                <w:rFonts w:ascii="Arial" w:cs="Arial" w:eastAsia="Arial" w:hAnsi="Arial"/>
                <w:color w:val="333333"/>
                <w:sz w:val="20"/>
                <w:szCs w:val="20"/>
              </w:rPr>
              <w:t xml:space="preserve">~$247</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$150 – $310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$77B  |  $177 avg PT (note: price above consensus)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AI datacenter Ethernet: spine/leaf, 400G/800G</w:t>
            </w:r>
          </w:p>
        </w:tc>
      </w:tr>
    </w:tbl>
    <w:p>
      <w:pPr>
        <w:spacing w:after="160" w:before="0"/>
      </w:pPr>
    </w:p>
    <w:p>
      <w:pPr>
        <w:spacing w:after="200" w:before="0"/>
        <w:jc w:val="left"/>
      </w:pPr>
      <w:r>
        <w:rPr>
          <w:rFonts w:ascii="Arial" w:cs="Arial" w:eastAsia="Arial" w:hAnsi="Arial"/>
          <w:color w:val="222222"/>
          <w:sz w:val="22"/>
          <w:szCs w:val="22"/>
        </w:rPr>
        <w:t xml:space="preserve">Arista Networks is the dominant supplier of high-speed Ethernet switches for the cloud and AI hyperscaler market. As AI clusters scale from thousands to tens of thousands of GPUs, the network that connects them becomes as critical as the chips themselves — latency and bandwidth in the interconnect directly affect training efficiency and inference throughput.</w:t>
      </w:r>
    </w:p>
    <w:p>
      <w:pPr>
        <w:spacing w:after="200" w:before="0"/>
        <w:jc w:val="left"/>
      </w:pPr>
      <w:r>
        <w:rPr>
          <w:rFonts w:ascii="Arial" w:cs="Arial" w:eastAsia="Arial" w:hAnsi="Arial"/>
          <w:color w:val="222222"/>
          <w:sz w:val="22"/>
          <w:szCs w:val="22"/>
        </w:rPr>
        <w:t xml:space="preserve">Arista has built its reputation on a single-image operating system (EOS) that runs across its entire product line, from campus access switches to the 800G AI datacenter spine switches now being deployed by Microsoft, Meta, and Google. Its reliability record in hyperscaler networks is extraordinary. The company has been a consistent earnings beat machine.</w:t>
      </w:r>
    </w:p>
    <w:p>
      <w:pPr>
        <w:spacing w:after="200" w:before="0"/>
        <w:jc w:val="left"/>
      </w:pPr>
      <w:r>
        <w:rPr>
          <w:rFonts w:ascii="Arial" w:cs="Arial" w:eastAsia="Arial" w:hAnsi="Arial"/>
          <w:color w:val="222222"/>
          <w:sz w:val="22"/>
          <w:szCs w:val="22"/>
        </w:rPr>
        <w:t xml:space="preserve">One important caveat for current investors: ANET's price of roughly $247 sits significantly above the analyst consensus price target of approximately $177. This is unusual — it suggests either that analysts have not caught up to the recent run, or that the stock is pricing in growth that the consensus model does not yet reflect. Given Arista's track record of beating estimates, the former is at least as likely as the latter. But position sizing matters here. We note it factually without concluding either direction.</w:t>
      </w:r>
    </w:p>
    <w:p>
      <w:pPr>
        <w:spacing w:after="160" w:before="0"/>
      </w:pPr>
    </w:p>
    <w:p>
      <w:pPr>
        <w:pStyle w:val="Heading2"/>
        <w:spacing w:after="160" w:before="320"/>
      </w:pPr>
      <w:r>
        <w:rPr>
          <w:rFonts w:ascii="Arial" w:cs="Arial" w:eastAsia="Arial" w:hAnsi="Arial"/>
          <w:b/>
          <w:bCs/>
          <w:color w:val="1A1A2E"/>
          <w:sz w:val="28"/>
          <w:szCs w:val="28"/>
        </w:rPr>
        <w:t xml:space="preserve">SNDK  —  The NAND Renaissance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SNDK</w:t>
            </w:r>
          </w:p>
          <w:p>
            <w:r>
              <w:rPr>
                <w:rFonts w:ascii="Arial" w:cs="Arial" w:eastAsia="Arial" w:hAnsi="Arial"/>
                <w:color w:val="333333"/>
                <w:sz w:val="20"/>
                <w:szCs w:val="20"/>
              </w:rPr>
              <w:t xml:space="preserve">~$661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$28 – $725</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$97B  |  $761 avg PT (Strong Buy, 14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NAND flash SSDs for AI datacenters; WDC spinoff</w:t>
            </w:r>
          </w:p>
        </w:tc>
      </w:tr>
    </w:tbl>
    <w:p>
      <w:pPr>
        <w:spacing w:after="160" w:before="0"/>
      </w:pPr>
    </w:p>
    <w:p>
      <w:pPr>
        <w:spacing w:after="200" w:before="0"/>
        <w:jc w:val="left"/>
      </w:pPr>
      <w:r>
        <w:rPr>
          <w:rFonts w:ascii="Arial" w:cs="Arial" w:eastAsia="Arial" w:hAnsi="Arial"/>
          <w:color w:val="222222"/>
          <w:sz w:val="22"/>
          <w:szCs w:val="22"/>
        </w:rPr>
        <w:t xml:space="preserve">SanDisk is, as of early 2025, a standalone public company again — spun out from Western Digital after a decade as a subsidiary, allowing it to decouple from the HDD business and trade purely on the NAND flash story. The timing was impeccable. AI datacenters need storage at a scale that is orders of magnitude above what anyone predicted five years ago: training datasets, model checkpoints, inference caches, and the 75–100 exabytes of AI-related storage demand that SanDisk's management projected by 2027.</w:t>
      </w:r>
    </w:p>
    <w:p>
      <w:pPr>
        <w:spacing w:after="200" w:before="0"/>
        <w:jc w:val="left"/>
      </w:pPr>
      <w:r>
        <w:rPr>
          <w:rFonts w:ascii="Arial" w:cs="Arial" w:eastAsia="Arial" w:hAnsi="Arial"/>
          <w:color w:val="222222"/>
          <w:sz w:val="22"/>
          <w:szCs w:val="22"/>
        </w:rPr>
        <w:t xml:space="preserve">The Q2 FY2026 result was one of the most impressive in the memory space: revenue of $3.03 billion, up 61% year-over-year. Gross margin exploded from 29.9% to 51.1% in a single quarter. EPS of $6.20 came in 77% above the consensus estimate. Q3 guidance projects $4.4–4.8 billion in revenue with 65–67% gross margin — a number that, if delivered, would represent one of the fastest gross margin expansions in modern semiconductor history.</w:t>
      </w:r>
    </w:p>
    <w:p>
      <w:pPr>
        <w:spacing w:after="200" w:before="0"/>
        <w:jc w:val="left"/>
      </w:pPr>
      <w:r>
        <w:rPr>
          <w:rFonts w:ascii="Arial" w:cs="Arial" w:eastAsia="Arial" w:hAnsi="Arial"/>
          <w:color w:val="222222"/>
          <w:sz w:val="22"/>
          <w:szCs w:val="22"/>
        </w:rPr>
        <w:t xml:space="preserve">The stock has had an extraordinary run: from $28 a year ago to a peak of $725 before pulling back to current levels around $661. The 52-week range is more instructive than any other data point about this stock — it has moved through an entire cycle in 12 months. At a forward P/E that remains negative (the company is reinvesting aggressively), the valuation is a pure growth bet. Stanley Druckenmiller reportedly reduced his position in early 2026. But the AI storage demand cycle has not peaked — and SanDisk is now one of two pure-play public NAND flash companies, making it a primary vehicle for that theme.</w:t>
      </w:r>
    </w:p>
    <w:p>
      <w:pPr>
        <w:spacing w:after="160" w:before="0"/>
      </w:pPr>
    </w:p>
    <w:p>
      <w:pPr>
        <w:pStyle w:val="Heading2"/>
        <w:spacing w:after="160" w:before="320"/>
      </w:pPr>
      <w:r>
        <w:rPr>
          <w:rFonts w:ascii="Arial" w:cs="Arial" w:eastAsia="Arial" w:hAnsi="Arial"/>
          <w:b/>
          <w:bCs/>
          <w:color w:val="1A1A2E"/>
          <w:sz w:val="28"/>
          <w:szCs w:val="28"/>
        </w:rPr>
        <w:t xml:space="preserve">STX  —  The Overlooked Storage Beneficiary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STX</w:t>
            </w:r>
          </w:p>
          <w:p>
            <w:r>
              <w:rPr>
                <w:rFonts w:ascii="Arial" w:cs="Arial" w:eastAsia="Arial" w:hAnsi="Arial"/>
                <w:color w:val="333333"/>
                <w:sz w:val="20"/>
                <w:szCs w:val="20"/>
              </w:rPr>
              <w:t xml:space="preserve">~$100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$65 – $140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$22B  |  Buy consensus ~$115 avg PT</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Hard disk drives for AI datacenter mass storage tier</w:t>
            </w:r>
          </w:p>
        </w:tc>
      </w:tr>
    </w:tbl>
    <w:p>
      <w:pPr>
        <w:spacing w:after="160" w:before="0"/>
      </w:pPr>
    </w:p>
    <w:p>
      <w:pPr>
        <w:spacing w:after="200" w:before="0"/>
        <w:jc w:val="left"/>
      </w:pPr>
      <w:r>
        <w:rPr>
          <w:rFonts w:ascii="Arial" w:cs="Arial" w:eastAsia="Arial" w:hAnsi="Arial"/>
          <w:color w:val="222222"/>
          <w:sz w:val="22"/>
          <w:szCs w:val="22"/>
        </w:rPr>
        <w:t xml:space="preserve">Seagate Technology is the most unfashionable name in this essay, and possibly the most mispriced. In a world obsessed with flash and SSDs, Seagate makes hard disk drives — spinning magnetic platters that store data far more cheaply per gigabyte than NAND, making them the mass storage tier of choice for hyperscalers who need to retain petabytes of training data, archived inference results, and cold storage at cost.</w:t>
      </w:r>
    </w:p>
    <w:p>
      <w:pPr>
        <w:spacing w:after="200" w:before="0"/>
        <w:jc w:val="left"/>
      </w:pPr>
      <w:r>
        <w:rPr>
          <w:rFonts w:ascii="Arial" w:cs="Arial" w:eastAsia="Arial" w:hAnsi="Arial"/>
          <w:color w:val="222222"/>
          <w:sz w:val="22"/>
          <w:szCs w:val="22"/>
        </w:rPr>
        <w:t xml:space="preserve">The memory shortage that is driving SanDisk, Micron, and MU higher is also creating a gravity effect toward HDD for cost-sensitive workloads. When NAND is expensive, more data gets pushed to spinning disk — and when AI datacenters are ingesting data at unprecedented rates, the total addressable market for mass storage expands. Seagate's HAMR (Heat-Assisted Magnetic Recording) technology, which allows much higher areal density than conventional drives, is now ramping in the datacenter market.</w:t>
      </w:r>
    </w:p>
    <w:p>
      <w:pPr>
        <w:spacing w:after="200" w:before="0"/>
        <w:jc w:val="left"/>
      </w:pPr>
      <w:r>
        <w:rPr>
          <w:rFonts w:ascii="Arial" w:cs="Arial" w:eastAsia="Arial" w:hAnsi="Arial"/>
          <w:color w:val="222222"/>
          <w:sz w:val="22"/>
          <w:szCs w:val="22"/>
        </w:rPr>
        <w:t xml:space="preserve">At roughly $100, STX trades well below its 52-week high of $140. The dividend yield provides a floor. This is not a high-growth story — it is a free cash flow story and a beneficiary of a storage cycle that most AI investors have overlooked entirely while chasing the NAND premium.</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Layer Four: Power, Photonics, and the Physical Plant</w:t>
      </w:r>
    </w:p>
    <w:p>
      <w:pPr>
        <w:spacing w:after="280" w:before="0"/>
        <w:jc w:val="left"/>
      </w:pPr>
      <w:r>
        <w:rPr>
          <w:rFonts w:ascii="Arial" w:cs="Arial" w:eastAsia="Arial" w:hAnsi="Arial"/>
          <w:i/>
          <w:iCs/>
          <w:color w:val="777777"/>
          <w:sz w:val="22"/>
          <w:szCs w:val="22"/>
        </w:rPr>
        <w:t xml:space="preserve">AI datacenters are, at their core, power plants. The physical infrastructure layer is where the underappreciated money is.</w:t>
      </w:r>
    </w:p>
    <w:p>
      <w:pPr>
        <w:spacing w:after="200" w:before="0"/>
        <w:jc w:val="left"/>
      </w:pPr>
      <w:r>
        <w:rPr>
          <w:rFonts w:ascii="Arial" w:cs="Arial" w:eastAsia="Arial" w:hAnsi="Arial"/>
          <w:color w:val="222222"/>
          <w:sz w:val="22"/>
          <w:szCs w:val="22"/>
        </w:rPr>
        <w:t xml:space="preserve">The most profound constraint on AI in 2026 is not compute. It is power. A single NVIDIA GB200 NVL72 rack consumes roughly 120 kilowatts. A hyperscale cluster of 100,000 GPUs requires gigawatts. The US grid was not designed for this. The companies that solve — or partially solve — the power and cooling problem are positioned for a decade of structural demand that has nothing to do with any particular AI model architecture.</w:t>
      </w:r>
    </w:p>
    <w:p>
      <w:pPr>
        <w:pStyle w:val="Heading2"/>
        <w:spacing w:after="160" w:before="320"/>
      </w:pPr>
      <w:r>
        <w:rPr>
          <w:rFonts w:ascii="Arial" w:cs="Arial" w:eastAsia="Arial" w:hAnsi="Arial"/>
          <w:b/>
          <w:bCs/>
          <w:color w:val="1A1A2E"/>
          <w:sz w:val="28"/>
          <w:szCs w:val="28"/>
        </w:rPr>
        <w:t xml:space="preserve">VRT  —  The Thermal Infrastructure 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VRT</w:t>
            </w:r>
          </w:p>
          <w:p>
            <w:r>
              <w:rPr>
                <w:rFonts w:ascii="Arial" w:cs="Arial" w:eastAsia="Arial" w:hAnsi="Arial"/>
                <w:color w:val="333333"/>
                <w:sz w:val="20"/>
                <w:szCs w:val="20"/>
              </w:rPr>
              <w:t xml:space="preserve">~$247</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$100 – $320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$93B  |  Strong Buy ~$280 avg PT</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Datacenter power, cooling, liquid cooling systems</w:t>
            </w:r>
          </w:p>
        </w:tc>
      </w:tr>
    </w:tbl>
    <w:p>
      <w:pPr>
        <w:spacing w:after="160" w:before="0"/>
      </w:pPr>
    </w:p>
    <w:p>
      <w:pPr>
        <w:spacing w:after="200" w:before="0"/>
        <w:jc w:val="left"/>
      </w:pPr>
      <w:r>
        <w:rPr>
          <w:rFonts w:ascii="Arial" w:cs="Arial" w:eastAsia="Arial" w:hAnsi="Arial"/>
          <w:color w:val="222222"/>
          <w:sz w:val="22"/>
          <w:szCs w:val="22"/>
        </w:rPr>
        <w:t xml:space="preserve">Vertiv Holdings provides the critical power and thermal management infrastructure inside datacenters — uninterruptible power supplies, precision cooling, switchgear, and increasingly, direct liquid cooling systems for high-density GPU clusters. It joined the S&amp;P 500 in March 2026, which is both a recognition of its scale and a catalyst for institutional ownership.</w:t>
      </w:r>
    </w:p>
    <w:p>
      <w:pPr>
        <w:spacing w:after="200" w:before="0"/>
        <w:jc w:val="left"/>
      </w:pPr>
      <w:r>
        <w:rPr>
          <w:rFonts w:ascii="Arial" w:cs="Arial" w:eastAsia="Arial" w:hAnsi="Arial"/>
          <w:color w:val="222222"/>
          <w:sz w:val="22"/>
          <w:szCs w:val="22"/>
        </w:rPr>
        <w:t xml:space="preserve">The thesis is simple: every dollar spent on AI compute infrastructure requires a proportional spend on keeping that compute cool and powered. Vertiv sells to the same hyperscaler customers as NVIDIA but is structurally less dependent on any single chip architecture — whether the next generation runs on Blackwell, Rubin, or something else, the thermal and power infrastructure must be updated alongside it. Liquid cooling in particular — which Vertiv is scaling aggressively — is the fastest-growing segment in datacenter infrastructure as GPU power density makes air cooling insufficient.</w:t>
      </w:r>
    </w:p>
    <w:p>
      <w:pPr>
        <w:spacing w:after="200" w:before="0"/>
        <w:jc w:val="left"/>
      </w:pPr>
      <w:r>
        <w:rPr>
          <w:rFonts w:ascii="Arial" w:cs="Arial" w:eastAsia="Arial" w:hAnsi="Arial"/>
          <w:color w:val="222222"/>
          <w:sz w:val="22"/>
          <w:szCs w:val="22"/>
        </w:rPr>
        <w:t xml:space="preserve">At $247, Vertiv trades roughly 23% below its 52-week high of $320. The analyst consensus is strongly bullish at around $280.</w:t>
      </w:r>
    </w:p>
    <w:p>
      <w:pPr>
        <w:spacing w:after="160" w:before="0"/>
      </w:pPr>
    </w:p>
    <w:p>
      <w:pPr>
        <w:pStyle w:val="Heading2"/>
        <w:spacing w:after="160" w:before="320"/>
      </w:pPr>
      <w:r>
        <w:rPr>
          <w:rFonts w:ascii="Arial" w:cs="Arial" w:eastAsia="Arial" w:hAnsi="Arial"/>
          <w:b/>
          <w:bCs/>
          <w:color w:val="1A1A2E"/>
          <w:sz w:val="28"/>
          <w:szCs w:val="28"/>
        </w:rPr>
        <w:t xml:space="preserve">CEG  —  Nuclear in the Age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CEG</w:t>
            </w:r>
          </w:p>
          <w:p>
            <w:r>
              <w:rPr>
                <w:rFonts w:ascii="Arial" w:cs="Arial" w:eastAsia="Arial" w:hAnsi="Arial"/>
                <w:color w:val="333333"/>
                <w:sz w:val="20"/>
                <w:szCs w:val="20"/>
              </w:rPr>
              <w:t xml:space="preserve">~$301</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$161 – $413</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$92B  |  $394 avg PT (Buy, 14 analysts)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Nuclear generation + AI datacenter PPAs; Calpine acquisition</w:t>
            </w:r>
          </w:p>
        </w:tc>
      </w:tr>
    </w:tbl>
    <w:p>
      <w:pPr>
        <w:spacing w:after="160" w:before="0"/>
      </w:pPr>
    </w:p>
    <w:p>
      <w:pPr>
        <w:spacing w:after="200" w:before="0"/>
        <w:jc w:val="left"/>
      </w:pPr>
      <w:r>
        <w:rPr>
          <w:rFonts w:ascii="Arial" w:cs="Arial" w:eastAsia="Arial" w:hAnsi="Arial"/>
          <w:color w:val="222222"/>
          <w:sz w:val="22"/>
          <w:szCs w:val="22"/>
        </w:rPr>
        <w:t xml:space="preserve">Constellation Energy is America's largest producer of carbon-free electricity, with a fleet of nuclear plants that generates roughly 10% of the nation's clean power. In the pre-AI world, that was a stable but unexciting utility franchise. In the post-AI world, it is one of the most strategically valuable energy assets in the country.</w:t>
      </w:r>
    </w:p>
    <w:p>
      <w:pPr>
        <w:spacing w:after="200" w:before="0"/>
        <w:jc w:val="left"/>
      </w:pPr>
      <w:r>
        <w:rPr>
          <w:rFonts w:ascii="Arial" w:cs="Arial" w:eastAsia="Arial" w:hAnsi="Arial"/>
          <w:color w:val="222222"/>
          <w:sz w:val="22"/>
          <w:szCs w:val="22"/>
        </w:rPr>
        <w:t xml:space="preserve">The reason is structural: nuclear generates 24/7 baseload power regardless of weather, unlike wind or solar. AI datacenters require 24/7 power. The PPA (power purchase agreement) market between nuclear operators and hyperscalers is now the fastest-growing segment in energy finance — and Constellation is the largest supplier. Three Mile Island's Restart as the Microsoft-backed Clinton Clean Energy Center is the canonical deal; the subsequent CyrusOne 380MW agreement announced in March 2026 shows the pipeline continuing.</w:t>
      </w:r>
    </w:p>
    <w:p>
      <w:pPr>
        <w:spacing w:after="200" w:before="0"/>
        <w:jc w:val="left"/>
      </w:pPr>
      <w:r>
        <w:rPr>
          <w:rFonts w:ascii="Arial" w:cs="Arial" w:eastAsia="Arial" w:hAnsi="Arial"/>
          <w:color w:val="222222"/>
          <w:sz w:val="22"/>
          <w:szCs w:val="22"/>
        </w:rPr>
        <w:t xml:space="preserve">The Calpine acquisition, completed in early 2026, adds natural gas generation capacity and creates a more diversified dispatchable clean energy portfolio. Analyst TD Cowen raised its price target to $454 in February. The current price of $301 sits 27% below the October 2025 ATH of $413 — partially due to a Trump administration proposal to push tech companies to lower electricity prices for consumers, creating regulatory uncertainty. That overhang creates the entry point.</w:t>
      </w:r>
    </w:p>
    <w:p>
      <w:pPr>
        <w:spacing w:after="200" w:before="0"/>
        <w:jc w:val="left"/>
      </w:pPr>
      <w:r>
        <w:rPr>
          <w:rFonts w:ascii="Arial" w:cs="Arial" w:eastAsia="Arial" w:hAnsi="Arial"/>
          <w:color w:val="222222"/>
          <w:sz w:val="22"/>
          <w:szCs w:val="22"/>
        </w:rPr>
        <w:t xml:space="preserve">For a long-term portfolio, CEG is not a trade. It is a thesis: the US AI infrastructure build requires clean, reliable baseload power that only nuclear can provide at scale, and there is one dominant pure-play on that thesis.</w:t>
      </w:r>
    </w:p>
    <w:p>
      <w:pPr>
        <w:spacing w:after="160" w:before="0"/>
      </w:pPr>
    </w:p>
    <w:p>
      <w:pPr>
        <w:pStyle w:val="Heading2"/>
        <w:spacing w:after="160" w:before="320"/>
      </w:pPr>
      <w:r>
        <w:rPr>
          <w:rFonts w:ascii="Arial" w:cs="Arial" w:eastAsia="Arial" w:hAnsi="Arial"/>
          <w:b/>
          <w:bCs/>
          <w:color w:val="1A1A2E"/>
          <w:sz w:val="28"/>
          <w:szCs w:val="28"/>
        </w:rPr>
        <w:t xml:space="preserve">EQT  —  The Gas Behind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EQT</w:t>
            </w:r>
          </w:p>
          <w:p>
            <w:r>
              <w:rPr>
                <w:rFonts w:ascii="Arial" w:cs="Arial" w:eastAsia="Arial" w:hAnsi="Arial"/>
                <w:color w:val="333333"/>
                <w:sz w:val="20"/>
                <w:szCs w:val="20"/>
              </w:rPr>
              <w:t xml:space="preserve">~$52</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$30 – $58</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$18B  |  Buy consensus ~$62 avg PT</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Largest US natural gas producer; AI power demand beneficiary</w:t>
            </w:r>
          </w:p>
        </w:tc>
      </w:tr>
    </w:tbl>
    <w:p>
      <w:pPr>
        <w:spacing w:after="160" w:before="0"/>
      </w:pPr>
    </w:p>
    <w:p>
      <w:pPr>
        <w:spacing w:after="200" w:before="0"/>
        <w:jc w:val="left"/>
      </w:pPr>
      <w:r>
        <w:rPr>
          <w:rFonts w:ascii="Arial" w:cs="Arial" w:eastAsia="Arial" w:hAnsi="Arial"/>
          <w:color w:val="222222"/>
          <w:sz w:val="22"/>
          <w:szCs w:val="22"/>
        </w:rPr>
        <w:t xml:space="preserve">EQT Corporation is the largest natural gas producer in the United States, operating primarily in the Appalachian Basin. Natural gas does not have the clean energy narrative of nuclear, but it has something equally important in 2026: dispatchability. When solar goes down at night and wind stalls, datacenter operators and grid operators need gas-fired peaker plants to fill the gap. The AI power demand surge has materially tightened the US natural gas market.</w:t>
      </w:r>
    </w:p>
    <w:p>
      <w:pPr>
        <w:spacing w:after="200" w:before="0"/>
        <w:jc w:val="left"/>
      </w:pPr>
      <w:r>
        <w:rPr>
          <w:rFonts w:ascii="Arial" w:cs="Arial" w:eastAsia="Arial" w:hAnsi="Arial"/>
          <w:color w:val="222222"/>
          <w:sz w:val="22"/>
          <w:szCs w:val="22"/>
        </w:rPr>
        <w:t xml:space="preserve">EQT is a pure-play on natural gas prices and volume, with a low cost structure that makes it one of the most profitable producers at current prices. The Iran war premium has also pushed oil and gas prices meaningfully higher, creating an environment where EQT's margins are expanding while capex remains disciplined.</w:t>
      </w:r>
    </w:p>
    <w:p>
      <w:pPr>
        <w:spacing w:after="200" w:before="0"/>
        <w:jc w:val="left"/>
      </w:pPr>
      <w:r>
        <w:rPr>
          <w:rFonts w:ascii="Arial" w:cs="Arial" w:eastAsia="Arial" w:hAnsi="Arial"/>
          <w:color w:val="222222"/>
          <w:sz w:val="22"/>
          <w:szCs w:val="22"/>
        </w:rPr>
        <w:t xml:space="preserve">At roughly $52, the stock trades near its 52-week high. This is not a beaten-down name — it is a momentum trade on energy tightness. The AI power demand story gives it a secular narrative that was absent a year ago.</w:t>
      </w:r>
    </w:p>
    <w:p>
      <w:pPr>
        <w:spacing w:after="160" w:before="0"/>
      </w:pPr>
    </w:p>
    <w:p>
      <w:pPr>
        <w:pStyle w:val="Heading2"/>
        <w:spacing w:after="160" w:before="320"/>
      </w:pPr>
      <w:r>
        <w:rPr>
          <w:rFonts w:ascii="Arial" w:cs="Arial" w:eastAsia="Arial" w:hAnsi="Arial"/>
          <w:b/>
          <w:bCs/>
          <w:color w:val="1A1A2E"/>
          <w:sz w:val="28"/>
          <w:szCs w:val="28"/>
        </w:rPr>
        <w:t xml:space="preserve">LITE  —  Light Speed Through the Datacenter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LITE</w:t>
            </w:r>
          </w:p>
          <w:p>
            <w:r>
              <w:rPr>
                <w:rFonts w:ascii="Arial" w:cs="Arial" w:eastAsia="Arial" w:hAnsi="Arial"/>
                <w:color w:val="333333"/>
                <w:sz w:val="20"/>
                <w:szCs w:val="20"/>
              </w:rPr>
              <w:t xml:space="preserve">~$665</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$200 – $820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$18B  |  $574 avg PT — note: price above consensus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AI datacenter optical transceivers, EML lasers; NVDA $2B investment</w:t>
            </w:r>
          </w:p>
        </w:tc>
      </w:tr>
    </w:tbl>
    <w:p>
      <w:pPr>
        <w:spacing w:after="160" w:before="0"/>
      </w:pPr>
    </w:p>
    <w:p>
      <w:pPr>
        <w:spacing w:after="200" w:before="0"/>
        <w:jc w:val="left"/>
      </w:pPr>
      <w:r>
        <w:rPr>
          <w:rFonts w:ascii="Arial" w:cs="Arial" w:eastAsia="Arial" w:hAnsi="Arial"/>
          <w:color w:val="222222"/>
          <w:sz w:val="22"/>
          <w:szCs w:val="22"/>
        </w:rPr>
        <w:t xml:space="preserve">Lumentum is one of the two photonics companies (alongside Coherent) that received a $2 billion strategic investment from NVIDIA in early March 2026. That investment is not a curiosity — it is a signal. NVIDIA is essentially co-investing in the supply chain for the optical interconnects that its own AI infrastructure requires. As GPU clusters scale beyond what copper can handle, optical fiber connections between racks, between pods, and eventually between chips become necessary. Lumentum makes the lasers and transceivers that enable this.</w:t>
      </w:r>
    </w:p>
    <w:p>
      <w:pPr>
        <w:spacing w:after="200" w:before="0"/>
        <w:jc w:val="left"/>
      </w:pPr>
      <w:r>
        <w:rPr>
          <w:rFonts w:ascii="Arial" w:cs="Arial" w:eastAsia="Arial" w:hAnsi="Arial"/>
          <w:color w:val="222222"/>
          <w:sz w:val="22"/>
          <w:szCs w:val="22"/>
        </w:rPr>
        <w:t xml:space="preserve">The company also joined the S&amp;P 500 in March 2026, alongside Vertiv and Coherent, when S&amp;P Dow Jones Indices flagged it as a datacenter equipment maker of sufficient scale. Lumentum leads in the EML (electroabsorption modulated laser) market for AI datacenters — the specific component that handles the high-speed optical modulation required for 400G and 800G datacenter links.</w:t>
      </w:r>
    </w:p>
    <w:p>
      <w:pPr>
        <w:spacing w:after="200" w:before="0"/>
        <w:jc w:val="left"/>
      </w:pPr>
      <w:r>
        <w:rPr>
          <w:rFonts w:ascii="Arial" w:cs="Arial" w:eastAsia="Arial" w:hAnsi="Arial"/>
          <w:color w:val="222222"/>
          <w:sz w:val="22"/>
          <w:szCs w:val="22"/>
        </w:rPr>
        <w:t xml:space="preserve">One honest caveat: at $665, LITE trades above the analyst consensus of approximately $574. That gap deserves attention. The NVIDIA investment is a structural catalyst not yet fully reflected in analyst models, but the stock has run hard since the announcement. Scaling in rather than buying a full position at current levels is the more measured approach.</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The Wildcard: ASTS</w:t>
      </w:r>
    </w:p>
    <w:p>
      <w:pPr>
        <w:spacing w:after="280" w:before="0"/>
        <w:jc w:val="left"/>
      </w:pPr>
      <w:r>
        <w:rPr>
          <w:rFonts w:ascii="Arial" w:cs="Arial" w:eastAsia="Arial" w:hAnsi="Arial"/>
          <w:i/>
          <w:iCs/>
          <w:color w:val="777777"/>
          <w:sz w:val="22"/>
          <w:szCs w:val="22"/>
        </w:rPr>
        <w:t xml:space="preserve">Not AI infrastructure in the traditional sense. A pure disruption bet on space-based cellular.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800"/>
        <w:gridCol w:w="2200"/>
        <w:gridCol w:w="2100"/>
        <w:gridCol w:w="3260"/>
      </w:tblGrid>
      <w:tr>
        <w:tc>
          <w:tcPr>
            <w:tcW w:type="dxa" w:w="1800"/>
            <w:tcBorders>
              <w:top w:val="single" w:color="E0E0E0" w:sz="1"/>
              <w:left w:val="single" w:color="E0E0E0" w:sz="1"/>
              <w:bottom w:val="single" w:color="E0E0E0" w:sz="1"/>
              <w:right w:val="single" w:color="E0E0E0" w:sz="1"/>
            </w:tcBorders>
            <w:shd w:fill="F0F4FF" w:val="clear"/>
            <w:tcMar>
              <w:top w:type="dxa" w:w="80"/>
              <w:left w:type="dxa" w:w="120"/>
              <w:bottom w:type="dxa" w:w="80"/>
              <w:right w:type="dxa" w:w="120"/>
            </w:tcMar>
          </w:tcPr>
          <w:p>
            <w:r>
              <w:rPr>
                <w:rFonts w:ascii="Arial" w:cs="Arial" w:eastAsia="Arial" w:hAnsi="Arial"/>
                <w:b/>
                <w:bCs/>
                <w:color w:val="1A1A2E"/>
                <w:sz w:val="24"/>
                <w:szCs w:val="24"/>
              </w:rPr>
              <w:t xml:space="preserve">ASTS</w:t>
            </w:r>
          </w:p>
          <w:p>
            <w:r>
              <w:rPr>
                <w:rFonts w:ascii="Arial" w:cs="Arial" w:eastAsia="Arial" w:hAnsi="Arial"/>
                <w:color w:val="333333"/>
                <w:sz w:val="20"/>
                <w:szCs w:val="20"/>
              </w:rPr>
              <w:t xml:space="preserve">~$86</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52-week</w:t>
            </w:r>
          </w:p>
          <w:p>
            <w:r>
              <w:rPr>
                <w:rFonts w:ascii="Arial" w:cs="Arial" w:eastAsia="Arial" w:hAnsi="Arial"/>
                <w:color w:val="444444"/>
                <w:sz w:val="18"/>
                <w:szCs w:val="18"/>
              </w:rPr>
              <w:t xml:space="preserve">$18 – $130</w:t>
            </w:r>
          </w:p>
        </w:tc>
        <w:tc>
          <w:tcPr>
            <w:tcW w:type="dxa" w:w="21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999999"/>
                <w:sz w:val="17"/>
                <w:szCs w:val="17"/>
              </w:rPr>
              <w:t xml:space="preserve">Mkt cap / PT</w:t>
            </w:r>
          </w:p>
          <w:p>
            <w:r>
              <w:rPr>
                <w:rFonts w:ascii="Arial" w:cs="Arial" w:eastAsia="Arial" w:hAnsi="Arial"/>
                <w:color w:val="444444"/>
                <w:sz w:val="18"/>
                <w:szCs w:val="18"/>
              </w:rPr>
              <w:t xml:space="preserve">$33B  |  Hold consensus, $71 avg PT — price above consensus</w:t>
            </w:r>
          </w:p>
        </w:tc>
        <w:tc>
          <w:tcPr>
            <w:tcW w:type="dxa" w:w="32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i/>
                <w:iCs/>
                <w:color w:val="444444"/>
                <w:sz w:val="18"/>
                <w:szCs w:val="18"/>
              </w:rPr>
              <w:t xml:space="preserve">Direct-to-cell satellite broadband; BlueBird constellation</w:t>
            </w:r>
          </w:p>
        </w:tc>
      </w:tr>
    </w:tbl>
    <w:p>
      <w:pPr>
        <w:spacing w:after="160" w:before="0"/>
      </w:pPr>
    </w:p>
    <w:p>
      <w:pPr>
        <w:spacing w:after="200" w:before="0"/>
        <w:jc w:val="left"/>
      </w:pPr>
      <w:r>
        <w:rPr>
          <w:rFonts w:ascii="Arial" w:cs="Arial" w:eastAsia="Arial" w:hAnsi="Arial"/>
          <w:color w:val="222222"/>
          <w:sz w:val="22"/>
          <w:szCs w:val="22"/>
        </w:rPr>
        <w:t xml:space="preserve">AST SpaceMobile does not fit neatly into the picks-and-shovels framework of this essay. It is not an AI infrastructure company. It is a bet that the next frontier of connectivity — reaching the 5 billion people who lack reliable terrestrial broadband — will be served by satellites that beam 4G/5G directly to ordinary smartphones. No special terminal required.</w:t>
      </w:r>
    </w:p>
    <w:p>
      <w:pPr>
        <w:spacing w:after="200" w:before="0"/>
        <w:jc w:val="left"/>
      </w:pPr>
      <w:r>
        <w:rPr>
          <w:rFonts w:ascii="Arial" w:cs="Arial" w:eastAsia="Arial" w:hAnsi="Arial"/>
          <w:color w:val="222222"/>
          <w:sz w:val="22"/>
          <w:szCs w:val="22"/>
        </w:rPr>
        <w:t xml:space="preserve">The BlueBird constellation is now in orbit, with commercial service launched and the company having entered into agreements with major carriers including AT&amp;T, Rakuten, and Vodafone. Revenue is beginning to accrue. The company posted Q4 revenue of $61.9 million and guided toward positive EBITDA by FY2026 — a milestone that would fundamentally change the investment case for a stock that currently trades at a negative P/E.</w:t>
      </w:r>
    </w:p>
    <w:p>
      <w:pPr>
        <w:spacing w:after="200" w:before="0"/>
        <w:jc w:val="left"/>
      </w:pPr>
      <w:r>
        <w:rPr>
          <w:rFonts w:ascii="Arial" w:cs="Arial" w:eastAsia="Arial" w:hAnsi="Arial"/>
          <w:color w:val="222222"/>
          <w:sz w:val="22"/>
          <w:szCs w:val="22"/>
        </w:rPr>
        <w:t xml:space="preserve">The honest picture: six analysts cover it with a consensus Hold rating and a $71 price target, yet the stock trades at $86 — 21% above that consensus. The 52-week range tells the full story of the volatility: from $18 to $130 and back to $86. This is a high-conviction binary bet: either the BlueBird constellation proves out the direct-to-cell model at commercial scale, in which case the addressable market is measured in tens of billions of people, or execution fails and the stock revisits the teens. There is very little middle ground.</w:t>
      </w:r>
    </w:p>
    <w:p>
      <w:pPr>
        <w:spacing w:after="200" w:before="0"/>
        <w:jc w:val="left"/>
      </w:pPr>
      <w:r>
        <w:rPr>
          <w:rFonts w:ascii="Arial" w:cs="Arial" w:eastAsia="Arial" w:hAnsi="Arial"/>
          <w:color w:val="222222"/>
          <w:sz w:val="22"/>
          <w:szCs w:val="22"/>
        </w:rPr>
        <w:t xml:space="preserve">We include ASTS not as a core portfolio holding but as the essay's reminder that the most asymmetric opportunities often sit at the edge of mainstream coverage — where analyst models have not yet caught up to what is actually being built.</w:t>
      </w:r>
    </w:p>
    <w:p>
      <w:pPr>
        <w:pBdr>
          <w:bottom w:val="single" w:color="CCCCCC" w:sz="6" w:space="1"/>
        </w:pBdr>
        <w:spacing w:after="120" w:before="120"/>
      </w:pPr>
    </w:p>
    <w:p>
      <w:pPr>
        <w:spacing w:after="160" w:before="0"/>
      </w:pPr>
    </w:p>
    <w:p>
      <w:pPr>
        <w:pStyle w:val="Heading1"/>
        <w:spacing w:after="200" w:before="400"/>
      </w:pPr>
      <w:r>
        <w:rPr>
          <w:rFonts w:ascii="Arial" w:cs="Arial" w:eastAsia="Arial" w:hAnsi="Arial"/>
          <w:b/>
          <w:bCs/>
          <w:color w:val="111111"/>
          <w:sz w:val="40"/>
          <w:szCs w:val="40"/>
        </w:rPr>
        <w:t xml:space="preserve">The Synthesis: A Portfolio Built for the Buildout</w:t>
      </w:r>
    </w:p>
    <w:p>
      <w:pPr>
        <w:spacing w:after="240" w:before="0"/>
        <w:jc w:val="left"/>
      </w:pPr>
      <w:r>
        <w:rPr>
          <w:rFonts w:ascii="Arial" w:cs="Arial" w:eastAsia="Arial" w:hAnsi="Arial"/>
          <w:b/>
          <w:bCs/>
          <w:color w:val="333333"/>
          <w:sz w:val="24"/>
          <w:szCs w:val="24"/>
        </w:rPr>
        <w:t xml:space="preserve">The fifteen names in this essay are not a diversified portfolio in the traditional sense. They are fifteen different ways to own the same fundamental bet: that the AI capex cycle is in its first third, not its third.</w:t>
      </w:r>
    </w:p>
    <w:p>
      <w:pPr>
        <w:spacing w:after="200" w:before="0"/>
        <w:jc w:val="left"/>
      </w:pPr>
      <w:r>
        <w:rPr>
          <w:rFonts w:ascii="Arial" w:cs="Arial" w:eastAsia="Arial" w:hAnsi="Arial"/>
          <w:color w:val="222222"/>
          <w:sz w:val="22"/>
          <w:szCs w:val="22"/>
        </w:rPr>
        <w:t xml:space="preserve">The Bench's investment framework — refined over months of running VINCE, Dexter, and the AIHF analyst committee — consistently returns the same signal when we stress-test AI infrastructure stocks against historical technology capex cycles: we are where telecom was in 1997, not 1999. The infrastructure is being built. The overbuild has not yet happened. The companies laying the physical and logical substrate of AI are, right now, generating real revenue from real customers at accelerating rates.</w:t>
      </w:r>
    </w:p>
    <w:p>
      <w:pPr>
        <w:spacing w:after="200" w:before="0"/>
        <w:jc w:val="left"/>
      </w:pPr>
      <w:r>
        <w:rPr>
          <w:rFonts w:ascii="Arial" w:cs="Arial" w:eastAsia="Arial" w:hAnsi="Arial"/>
          <w:color w:val="222222"/>
          <w:sz w:val="22"/>
          <w:szCs w:val="22"/>
        </w:rPr>
        <w:t xml:space="preserve">The four layers map cleanly onto the Tastytrade sleeve thesis we have written about extensively. The foundry equipment complex — ASML, AMAT, KLAC, LRCX — represents the highest-conviction, lowest-narrative-risk tier. These companies are sold out. Their backlogs are years long. The physics of advanced node chipmaking will not change. The design intelligence layer — CDNS, SNPS — represents the software equivalent of the same inevitability: every custom chip that gets designed runs through their tools. The compute and network layer — AVGO, ANET, SNDK, STX — is where the AI capex is visibly flowing today. The power and physical plant layer — VRT, CEG, EQT, LITE — is where we believe the next phase of investor attention will rotate as the power constraint becomes the binding constraint on AI scaling.</w:t>
      </w:r>
    </w:p>
    <w:p>
      <w:pPr>
        <w:spacing w:after="200" w:before="0"/>
        <w:jc w:val="left"/>
      </w:pPr>
      <w:r>
        <w:rPr>
          <w:rFonts w:ascii="Arial" w:cs="Arial" w:eastAsia="Arial" w:hAnsi="Arial"/>
          <w:color w:val="222222"/>
          <w:sz w:val="22"/>
          <w:szCs w:val="22"/>
        </w:rPr>
        <w:t xml:space="preserve">What ties them together is the structural nature of their competitive positions. None of these companies depends on a product launch going well next quarter. None of them faces an existential threat from a competing AI model. They are the roads the AI economy travels on, and roads — once built — tend to compound.</w:t>
      </w:r>
    </w:p>
    <w:p>
      <w:pPr>
        <w:spacing w:after="200" w:before="0"/>
        <w:jc w:val="left"/>
      </w:pPr>
      <w:r>
        <w:rPr>
          <w:rFonts w:ascii="Arial" w:cs="Arial" w:eastAsia="Arial" w:hAnsi="Arial"/>
          <w:color w:val="222222"/>
          <w:sz w:val="22"/>
          <w:szCs w:val="22"/>
        </w:rPr>
        <w:t xml:space="preserve">We will publish individual deep dives on the most interesting entries in this universe as earnings season progresses. KLAC reports April 23. ASML on April 15. Lam Research on April 29. AMAT on May 14. The next three months will tell us a great deal about whether the 20% WFE growth guidance holds. Our current estimate is that it does.</w:t>
      </w:r>
    </w:p>
    <w:p>
      <w:pPr>
        <w:pBdr>
          <w:bottom w:val="single" w:color="CCCCCC" w:sz="6" w:space="1"/>
        </w:pBdr>
        <w:spacing w:after="120" w:before="120"/>
      </w:pPr>
    </w:p>
    <w:p>
      <w:pPr>
        <w:spacing w:after="160" w:before="0"/>
      </w:pPr>
    </w:p>
    <w:p>
      <w:pPr>
        <w:spacing w:after="200" w:before="0"/>
      </w:pPr>
      <w:r>
        <w:rPr>
          <w:rFonts w:ascii="Arial" w:cs="Arial" w:eastAsia="Arial" w:hAnsi="Arial"/>
          <w:b/>
          <w:bCs/>
          <w:i/>
          <w:iCs/>
          <w:color w:val="888888"/>
          <w:sz w:val="20"/>
          <w:szCs w:val="20"/>
        </w:rPr>
        <w:t xml:space="preserve">The benchmark. No substitute.</w:t>
      </w:r>
    </w:p>
    <w:p>
      <w:pPr>
        <w:spacing w:after="80" w:before="0"/>
      </w:pPr>
      <w:r>
        <w:rPr>
          <w:rFonts w:ascii="Arial" w:cs="Arial" w:eastAsia="Arial" w:hAnsi="Arial"/>
          <w:color w:val="AAAAAA"/>
          <w:sz w:val="18"/>
          <w:szCs w:val="18"/>
        </w:rPr>
        <w:t xml:space="preserve">The Bench  ·  Ikigai Studio  ·  ikigaistudio.substack.com</w:t>
      </w:r>
    </w:p>
    <w:p>
      <w:pPr>
        <w:spacing w:after="80" w:before="0"/>
      </w:pPr>
      <w:r>
        <w:rPr>
          <w:rFonts w:ascii="Arial" w:cs="Arial" w:eastAsia="Arial" w:hAnsi="Arial"/>
          <w:color w:val="BBBBBB"/>
          <w:sz w:val="17"/>
          <w:szCs w:val="17"/>
        </w:rPr>
        <w:t xml:space="preserve">March 15, 2026  ·  All prices as of market close March 14–15, 2026.</w:t>
      </w:r>
    </w:p>
    <w:p>
      <w:pPr>
        <w:spacing w:after="0" w:before="0"/>
      </w:pPr>
      <w:r>
        <w:rPr>
          <w:rFonts w:ascii="Arial" w:cs="Arial" w:eastAsia="Arial" w:hAnsi="Arial"/>
          <w:i/>
          <w:iCs/>
          <w:color w:val="BBBBBB"/>
          <w:sz w:val="17"/>
          <w:szCs w:val="17"/>
        </w:rPr>
        <w:t xml:space="preserve">This essay is published for informational purposes only. It does not constitute financial advice. Past performance does not guarantee future results. All investment decisions carry risk. Do your own research.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pPr>
    <w:r>
      <w:rPr>
        <w:rFonts w:ascii="Arial" w:cs="Arial" w:eastAsia="Arial" w:hAnsi="Arial"/>
        <w:color w:val="AAAAAA"/>
        <w:sz w:val="17"/>
        <w:szCs w:val="17"/>
      </w:rPr>
      <w:t xml:space="preserve">March 2026  |  Not financial advice. Do your own research.  |  ikigaistudio.substack.com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pPr>
    <w:r>
      <w:rPr>
        <w:rFonts w:ascii="Arial" w:cs="Arial" w:eastAsia="Arial" w:hAnsi="Arial"/>
        <w:color w:val="999999"/>
        <w:sz w:val="18"/>
        <w:szCs w:val="18"/>
      </w:rPr>
      <w:t xml:space="preserve">Ikigai Studio  |  The Bench</w:t>
    </w:r>
    <w:r>
      <w:rPr>
        <w:rFonts w:ascii="Arial" w:cs="Arial" w:eastAsia="Arial" w:hAnsi="Arial"/>
        <w:color w:val="BBBBBB"/>
        <w:sz w:val="18"/>
        <w:szCs w:val="18"/>
      </w:rPr>
      <w:t xml:space="preserve">  ·  AI Infrastructure: The Picks &amp; Shovels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11111"/>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2026-03-15T12:33:07.887Z</dcterms:created>
  <dcterms:modified xsi:type="dcterms:W3CDTF">2026-03-15T12:33:07.888Z</dcterms:modified>
</cp:coreProperties>
</file>

<file path=docProps/custom.xml><?xml version="1.0" encoding="utf-8"?>
<Properties xmlns="http://schemas.openxmlformats.org/officeDocument/2006/custom-properties" xmlns:vt="http://schemas.openxmlformats.org/officeDocument/2006/docPropsVTypes"/>
</file>