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In-hospital outcomes of patients with liver cirrhosis undergoing colorectal cancer surgery: an analysis of the National Inpatient Sample</w:t>
      </w:r>
    </w:p>
    <w:p>
      <w:pPr>
        <w:pStyle w:val="Subtitle"/>
      </w:pPr>
      <w:r>
        <w:t xml:space="preserve">Analysis for RCOP 2025Apr-NIS-7-Gastro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Mariam Shahabi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liver cirrhosis on outcomes among inpatient admissions with colorectal cancer undergoing colectomy.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colorectal cancer.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Secondary 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Wound Infection</w:t>
      </w:r>
    </w:p>
    <w:p>
      <w:pPr>
        <w:numPr>
          <w:ilvl w:val="1"/>
          <w:numId w:val="1003"/>
        </w:numPr>
      </w:pPr>
      <w:r>
        <w:t xml:space="preserve">Sepsis</w:t>
      </w:r>
    </w:p>
    <w:p>
      <w:pPr>
        <w:numPr>
          <w:ilvl w:val="1"/>
          <w:numId w:val="1003"/>
        </w:numPr>
      </w:pPr>
      <w:r>
        <w:t xml:space="preserve">Pneumonia</w:t>
      </w:r>
    </w:p>
    <w:p>
      <w:pPr>
        <w:numPr>
          <w:ilvl w:val="1"/>
          <w:numId w:val="1003"/>
        </w:numPr>
      </w:pPr>
      <w:r>
        <w:t xml:space="preserve">Gastrointestinal Hemorrhage</w:t>
      </w:r>
    </w:p>
    <w:p>
      <w:pPr>
        <w:numPr>
          <w:ilvl w:val="1"/>
          <w:numId w:val="1003"/>
        </w:numPr>
      </w:pPr>
      <w:r>
        <w:t xml:space="preserve">Acute Respiratory Failure</w:t>
      </w:r>
    </w:p>
    <w:p>
      <w:pPr>
        <w:numPr>
          <w:ilvl w:val="1"/>
          <w:numId w:val="1003"/>
        </w:numPr>
      </w:pPr>
      <w:r>
        <w:t xml:space="preserve">Acute Kidney Injury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 the following</w:t>
      </w:r>
    </w:p>
    <w:p>
      <w:pPr>
        <w:numPr>
          <w:ilvl w:val="1"/>
          <w:numId w:val="1004"/>
        </w:numPr>
      </w:pPr>
      <w:r>
        <w:t xml:space="preserve">Patient Demographics: Age, sex, race, household income, insurance, hospital region, hospital bedsize, hospital location, and teaching status.</w:t>
      </w:r>
    </w:p>
    <w:p>
      <w:pPr>
        <w:numPr>
          <w:ilvl w:val="1"/>
          <w:numId w:val="1004"/>
        </w:numPr>
      </w:pPr>
      <w:r>
        <w:t xml:space="preserve">Hospital Characterstics: Type of admission (non-elective, elective), Bed size of hospital (small, medium, large), Teaching status of hospital (nonteaching, teaching), Location of hospital (rural, urban), Type of insurance (Medicare, Medicaid, private insurance, self-pay, no charge, other), Location of the hospital (northeast, Midwest or north central, south, west), Type of surgery(Laparoscopic, Open, Robotic colectomy)</w:t>
      </w:r>
    </w:p>
    <w:p>
      <w:pPr>
        <w:numPr>
          <w:ilvl w:val="1"/>
          <w:numId w:val="1004"/>
        </w:numPr>
      </w:pPr>
      <w:r>
        <w:t xml:space="preserve">Comorbidities: Hypertension, diabetes mellitus, obesity, hyperlipidemia, coronary artery disease, peripheral vascular disease, congestive heart failure, chronic kidney disease, chronic pulmonary disease, anemia, fluid and electrolyte disorders, HIV/AIDS, weight loss, lymphoma, alcohol abuse, drug abuse, depression, psychoses, rheumatoid disease, valvular disease, paralysis, neurological disorders, coagulopathy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6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6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7"/>
        </w:numPr>
      </w:pPr>
      <w:r>
        <w:t xml:space="preserve">Binary outcomes (e.g., mortality): Survey-weighted logistic regression using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</w:t>
      </w:r>
    </w:p>
    <w:p>
      <w:pPr>
        <w:numPr>
          <w:ilvl w:val="2"/>
          <w:numId w:val="1007"/>
        </w:numPr>
      </w:pPr>
      <w:r>
        <w:t xml:space="preserve">Continuous outcomes (e.g., LOS, hospital charges): Survey-weighted linear regression using the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</w:t>
      </w:r>
    </w:p>
    <w:p>
      <w:pPr>
        <w:numPr>
          <w:ilvl w:val="2"/>
          <w:numId w:val="1007"/>
        </w:numPr>
      </w:pPr>
      <w:r>
        <w:t xml:space="preserve">Results reported as adjusted odds ratios (aORs) or beta coefficients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liver cirrhosis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liver cirrhosis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17,760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8,720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9,040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12,855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5,305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5,640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1,430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9,890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1,455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3,300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6,690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9,545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13,115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liver cirrhosis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liver cirrhosis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17,760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(4.0, 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hospital charges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103,297 (56,908, 204,404)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78,379 (52,050, 127,478)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Wound disruption and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30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0.09, 7.63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2.78, 10.8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1.99, 8.61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1.78, 8.18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Start w:id="24" w:name="wound-infection"/>
    <w:p>
      <w:pPr>
        <w:pStyle w:val="Heading3"/>
      </w:pPr>
      <w:r>
        <w:t xml:space="preserve">Wound Infection: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0.55, 6.58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0.70, 5.80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2.17, 10.3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0.59, 47.8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0.60, 4.77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sepsis"/>
    <w:p>
      <w:pPr>
        <w:pStyle w:val="Heading3"/>
      </w:pPr>
      <w:r>
        <w:t xml:space="preserve">Sepsis: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3.79, 12.6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2.50, 7.88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pneumonia"/>
    <w:p>
      <w:pPr>
        <w:pStyle w:val="Heading3"/>
      </w:pPr>
      <w:r>
        <w:t xml:space="preserve">Pneumonia: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0.34, 8.76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0.28, 7.58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1.43, 3.89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1.96, 5.75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gastrointestinal-hemorrhage"/>
    <w:p>
      <w:pPr>
        <w:pStyle w:val="Heading3"/>
      </w:pPr>
      <w:r>
        <w:t xml:space="preserve">Gastrointestinal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5.48, 11.6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acute-respiratory-failure"/>
    <w:p>
      <w:pPr>
        <w:pStyle w:val="Heading3"/>
      </w:pPr>
      <w:r>
        <w:t xml:space="preserve">Acute Respiratory Failure: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0.39, 7.28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2.34, 6.02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2.10, 6.26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1.84, 6.13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acute-kidney-injury"/>
    <w:p>
      <w:pPr>
        <w:pStyle w:val="Heading3"/>
      </w:pPr>
      <w:r>
        <w:t xml:space="preserve">Acute Kidney Injury: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0.25, 8.68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1.57, 2.83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2.58, 4.89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1.50, 3.11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1.66, 3.14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2.59, 4.47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End w:id="30"/>
    <w:bookmarkStart w:id="33" w:name="multivariable-linear-regression"/>
    <w:p>
      <w:pPr>
        <w:pStyle w:val="Heading2"/>
      </w:pPr>
      <w:r>
        <w:t xml:space="preserve">Multivariable Linear Regression:</w:t>
      </w:r>
    </w:p>
    <w:bookmarkStart w:id="31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-0.69, 2.7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-0.80, 1.3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3.7, 5.8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2.8, 3.9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-2.3, 13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2.2, 5.3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1"/>
    <w:bookmarkStart w:id="32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-62,244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-167,976, 43,488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-2,313, 11,456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18,762, 38,704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-860, -78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7,882, 22,075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-15,464, 29,143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-10,436, 14,183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2,138, 27,552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-45,931, 9,357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10,281, 63,028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-4,368, 23,514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4,451, 26,968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-22,423, 5,540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-5,882, 11,738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-12,813, 6,013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-9,177, 19,078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8,995, 32,854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14,758, 34,151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33,037, 66,369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-19,784, -780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-23,139, -4,584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21,553, 41,517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28,833, 45,111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22,489, 44,181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-9,508, 6,047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-3,542, 21,079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940, 16,770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-6,309, 12,119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-15,719, 13,145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-14,059, -1,161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9,100, 38,119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-3,707, 13,629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-11,606, 6,354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67,945, 128,208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-10,207, 8,854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40,268, 75,581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-39,971, 89,468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2,712, 21,028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-39,486, 17,992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-13,809, 8,851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34,456, 56,473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-47,330, 42,827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-35,232, 1,425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-10,671, 16,650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-25,683, 324,962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16,990, 70,652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24,877, 114,478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In-hospital outcomes of patients with liver cirrhosis undergoing colorectal cancer surgery: an analysis of the National Inpatient Sample</dc:title>
  <dc:creator>Eliza Aisha; Mariam Shahabi</dc:creator>
  <cp:keywords/>
  <dcterms:created xsi:type="dcterms:W3CDTF">2025-06-04T05:16:26Z</dcterms:created>
  <dcterms:modified xsi:type="dcterms:W3CDTF">2025-06-04T05:16:26Z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2025Apr-NIS-7-Gastro</vt:lpwstr>
  </property>
  <property fmtid="{D5CDD505-2E9C-101B-9397-08002B2CF9AE}" pid="12" name="toc-title">
    <vt:lpwstr>Table of contents</vt:lpwstr>
  </property>
</Properties>
</file>