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Socioeconomic and Insurance-Based Disparities in Stroke Management and Outcomes Among Patients with Atrial Fibrillation</w:t>
      </w:r>
    </w:p>
    <w:p>
      <w:pPr>
        <w:pStyle w:val="Subtitle"/>
      </w:pPr>
      <w:r>
        <w:t xml:space="preserve">Analysis for RCOP group 2025April-NIS-1 Cardiology</w:t>
      </w:r>
    </w:p>
    <w:p>
      <w:pPr>
        <w:pStyle w:val="Author"/>
      </w:pPr>
      <w:r>
        <w:t xml:space="preserve">Eliza 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Examine the impact of household income and insurance status on stroke management and outcomes among inpatient admissions with atrial fibrillation.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a principal diagnosis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In-hospital all-cause mortality</w:t>
      </w:r>
    </w:p>
    <w:p>
      <w:pPr>
        <w:numPr>
          <w:ilvl w:val="1"/>
          <w:numId w:val="1002"/>
        </w:numPr>
      </w:pPr>
      <w:r>
        <w:t xml:space="preserve">Utilization of endovascular thrombectomy</w:t>
      </w:r>
    </w:p>
    <w:p>
      <w:pPr>
        <w:numPr>
          <w:ilvl w:val="1"/>
          <w:numId w:val="1002"/>
        </w:numPr>
      </w:pPr>
      <w:r>
        <w:t xml:space="preserve">Total hospital length of stay (days)</w:t>
      </w:r>
    </w:p>
    <w:p>
      <w:pPr>
        <w:numPr>
          <w:ilvl w:val="1"/>
          <w:numId w:val="1002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 for Adjustment:</w:t>
      </w:r>
      <w:r>
        <w:t xml:space="preserve"> </w:t>
      </w:r>
      <w:r>
        <w:t xml:space="preserve">All models adjusted for the following</w:t>
      </w:r>
    </w:p>
    <w:p>
      <w:pPr>
        <w:numPr>
          <w:ilvl w:val="1"/>
          <w:numId w:val="1003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3"/>
        </w:numPr>
      </w:pPr>
      <w:r>
        <w:t xml:space="preserve">Medical History: Hypertension, diabetes mellitus, hyperlipidemia, coronary artery disease, peripheral vascular disease, heart failure, chronic kidney disease, chronic obstructive pulmonary disease, dementia, liver disease, fluid/electrolyte imbalance, obesity, prior stroke, prior cardiac surgery, presence of pacemaker/defibrillator.</w:t>
      </w:r>
    </w:p>
    <w:p>
      <w:pPr>
        <w:numPr>
          <w:ilvl w:val="1"/>
          <w:numId w:val="1003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Univariable Analysis:</w:t>
      </w:r>
    </w:p>
    <w:p>
      <w:pPr>
        <w:numPr>
          <w:ilvl w:val="2"/>
          <w:numId w:val="1005"/>
        </w:numPr>
      </w:pPr>
      <w:r>
        <w:t xml:space="preserve">Categorical variables: Compared using Pearson’s chi-square test with Rao &amp; Scott adjustment</w:t>
      </w:r>
    </w:p>
    <w:p>
      <w:pPr>
        <w:numPr>
          <w:ilvl w:val="2"/>
          <w:numId w:val="1005"/>
        </w:numPr>
      </w:pPr>
      <w:r>
        <w:t xml:space="preserve">Continuous variables: Analyzed using the design-based Kruskal–Wallis test, a non-parametric alternative suitable for survey-weighted data</w:t>
      </w:r>
    </w:p>
    <w:p>
      <w:pPr>
        <w:numPr>
          <w:ilvl w:val="1"/>
          <w:numId w:val="1004"/>
        </w:numPr>
      </w:pPr>
      <w:r>
        <w:rPr>
          <w:b/>
          <w:bCs/>
        </w:rPr>
        <w:t xml:space="preserve">Multivariable Analysis:</w:t>
      </w:r>
    </w:p>
    <w:p>
      <w:pPr>
        <w:numPr>
          <w:ilvl w:val="2"/>
          <w:numId w:val="1006"/>
        </w:numPr>
      </w:pPr>
      <w:r>
        <w:t xml:space="preserve">Binary outcomes (e.g., mortality, mechanical ventilation): Survey-weighted logistic regression using the</w:t>
      </w:r>
      <w:r>
        <w:t xml:space="preserve"> </w:t>
      </w:r>
      <w:r>
        <w:rPr>
          <w:rStyle w:val="VerbatimChar"/>
        </w:rPr>
        <w:t xml:space="preserve">quasibinomial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Continuous outcomes (e.g., LOS, hospital charges): Survey-weighted linear regression using the</w:t>
      </w:r>
      <w:r>
        <w:t xml:space="preserve"> </w:t>
      </w:r>
      <w:r>
        <w:rPr>
          <w:rStyle w:val="VerbatimChar"/>
        </w:rPr>
        <w:t xml:space="preserve">gaussian</w:t>
      </w:r>
      <w:r>
        <w:t xml:space="preserve"> </w:t>
      </w:r>
      <w:r>
        <w:t xml:space="preserve">family</w:t>
      </w:r>
    </w:p>
    <w:p>
      <w:pPr>
        <w:numPr>
          <w:ilvl w:val="2"/>
          <w:numId w:val="1006"/>
        </w:numPr>
      </w:pPr>
      <w:r>
        <w:t xml:space="preserve">Results reported as adjusted odds ratios (aORs) or beta coefficients with 95% confidence intervals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performed using the R Statistical Language (Version 4.5.0; R Foundation for Statistical Computing, Vienna, Austria), incorporating survey-weighted procedures via the</w:t>
      </w:r>
      <w:r>
        <w:t xml:space="preserve"> </w:t>
      </w:r>
      <w:r>
        <w:rPr>
          <w:i/>
          <w:iCs/>
        </w:rPr>
        <w:t xml:space="preserve">survey</w:t>
      </w:r>
      <w:r>
        <w:t xml:space="preserve"> </w:t>
      </w:r>
      <w:r>
        <w:t xml:space="preserve">package to account for the complex sampling design of NIS.</w:t>
      </w:r>
    </w:p>
    <w:bookmarkEnd w:id="20"/>
    <w:bookmarkStart w:id="21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47,905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47,885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43,720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38,220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43,185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43,510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58,770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70,465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65,670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58,075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1,070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2,830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4,735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18,450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8,315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6,265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4,160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7,980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5,710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5,250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3,395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1,815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4.28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4.18 (2.17)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4.14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4.03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24,710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20,490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10,150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14,330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17,125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22,800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50,965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36,845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26,890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17,810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11,245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15,515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19,710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21,345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53,165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50,190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45,920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35,910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25,030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12,895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15,765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14,575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11,365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8,300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2,405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15,650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15,570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12,760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67,560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67,450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66,240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60,875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81,550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81,135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74,320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65,015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37,375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33,695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29,680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53,875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56,490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53,190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47,265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30,125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26,490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22,675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10,680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10,020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9,370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32,680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27,375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23,090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22,080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20,890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16,960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19,130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17,710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11,625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12,735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1,835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1,690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14,070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11,600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25,630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23,545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22,625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10,510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9,270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7,860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7,140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26,585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23,125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20,295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177,730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18,085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6,405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151,635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27,755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8,880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121,780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4,685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252,980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31,450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6,635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210,100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4,795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10,450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37,190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25,875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22,335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16,220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680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8,225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1,280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6,075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4.16 (2.18)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3.73 (2.10)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4.19 (2.08)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4.24 (2.19)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4.21 (2.28)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76,105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63,155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64,405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9,120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2,890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51,645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132,510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20,265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67,815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7,770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54,225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185,185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8,995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147,180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97,255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13,030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78,440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58,395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7,320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47,795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22,565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2,230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19,265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56,145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46,005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262,125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36,705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12,610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208,145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302,020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38,855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13,295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244,370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5,500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124,195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16,495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98,485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210,820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27,055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8,280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171,735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3,750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109,570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11,520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91,860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40,460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4,510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33,585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114,110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13,570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5,995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92,420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81,930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69,855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63,265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51,795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53,580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48,880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6,850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1,110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4,785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47,355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9,660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33,415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91,160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10,310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4,345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74,755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1,750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38,125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4,125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1,220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32,065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33,685 (9.9%)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1,050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29,200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490 (7.8%)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95,300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77,200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$1 - $51,999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91,090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$52,000 - $65,999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91,400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$66,000 - $87,999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84,215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$88,000 or more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74,130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6,415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6,005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5,295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4,820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83,270 (107,568)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77,086 (101,847)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82,038 (109,177)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88,758 (116,076)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4,935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4,290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Private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45,845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Medicaid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15,285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Medicare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273,415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6,290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22,535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18,120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5.8 (7.5)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8.9 (16.7)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 (5.6)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5.6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82,503 (108,472)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89,435 (117,445)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129,738 (222,158)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78,829 (95,947)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77,100 (104,074)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Utilization of mechanical thrombectomy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19,080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3,230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955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14,540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3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1.38, 2.11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0.57, 0.65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1.31, 1.88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1.75, 1.99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Start w:id="24" w:name="utilization-of-endovascular-thrombectomy"/>
    <w:p>
      <w:pPr>
        <w:pStyle w:val="Heading3"/>
      </w:pPr>
      <w:r>
        <w:t xml:space="preserve">Utilization of Endovascular Thrombectomy: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1.25, 1.29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1.09, 1.41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4.07, 19.9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12.9, 60.4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0.61, 0.72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0.40, 0.50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-0.43, -0.14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-0.57, 0.34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-0.58, 1.3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0.17, 0.46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-0.26, 0.10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-0.73, -0.45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-1.3, 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1.0, 1.4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-0.54, 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-0.44, 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-0.28,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0.36, 0.63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-0.52,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-0.84, -0.59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3.0, 3.3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-4,919, 100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-1,357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-4,263, 1,549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-995, 6,885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15,403, 31,900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-1,774, 4,275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-12,351, 454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-677, -466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229, 3,466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13,893, 32,990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8,805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5,164, 12,446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28,672, 40,902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-19,054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-27,869, -10,239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24,940, 42,652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Charlson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6,782, 8,068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15,281, 24,380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13,714, 20,056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34,866, 44,693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-16,203, -8,728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-28,000, -20,008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25,420, 33,382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42,981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40,307, 45,656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-11,283, -4,846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-8,769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-10,851, -6,687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-5,155, -1,457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-3,458, 386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-4,017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-6,809, -1,226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752, 4,835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-24,912, -19,943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obstructive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-7,944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-9,998, -5,889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Dementia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-16,190, -12,262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2,524, 21,838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992, 5,968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stroke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-7,300, -3,483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 cardiac surgery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-7,864, -2,921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Pacemaker/ICD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-11,825, -7,585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Fluid_disorders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43,446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40,815, 46,077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Socioeconomic and Insurance-Based Disparities in Stroke Management and Outcomes Among Patients with Atrial Fibrillation</dc:title>
  <dc:creator>Eliza Aisha</dc:creator>
  <cp:keywords/>
  <dcterms:created xsi:type="dcterms:W3CDTF">2025-05-21T02:32:43Z</dcterms:created>
  <dcterms:modified xsi:type="dcterms:W3CDTF">2025-05-21T02:32:43Z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group 2025April-NIS-1 Cardiology</vt:lpwstr>
  </property>
  <property fmtid="{D5CDD505-2E9C-101B-9397-08002B2CF9AE}" pid="12" name="toc-title">
    <vt:lpwstr>Table of contents</vt:lpwstr>
  </property>
</Properties>
</file>