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Weekend Admission on In-Hospital Outcomes in Patients with Acute Myocardial Infarction Undergoing Percutaneous Coronary Intervention</w:t>
      </w:r>
    </w:p>
    <w:p>
      <w:pPr>
        <w:pStyle w:val="Subtitle"/>
      </w:pPr>
      <w:r>
        <w:t xml:space="preserve">Analysis for RCOP 2025Apr-NIS-Cardio2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Liu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evaluate the association between weekend admission and in-hospital outcomes among adult patients hospitalized for acute myocardial infarction who underwent percutaneous coronary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A retrospective cross-sectional study using the National Inpatient Sample (NIS), years 2018–2020.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Hospitalizations were included if they met the following criteria</w:t>
      </w:r>
    </w:p>
    <w:p>
      <w:pPr>
        <w:numPr>
          <w:ilvl w:val="1"/>
          <w:numId w:val="1003"/>
        </w:numPr>
      </w:pPr>
      <w:r>
        <w:t xml:space="preserve">Age ≥ 18 years</w:t>
      </w:r>
    </w:p>
    <w:p>
      <w:pPr>
        <w:numPr>
          <w:ilvl w:val="1"/>
          <w:numId w:val="1003"/>
        </w:numPr>
      </w:pPr>
      <w:r>
        <w:t xml:space="preserve">Principal diagnosis of acute myocardial infarction</w:t>
      </w:r>
    </w:p>
    <w:p>
      <w:pPr>
        <w:numPr>
          <w:ilvl w:val="1"/>
          <w:numId w:val="1003"/>
        </w:numPr>
      </w:pPr>
      <w:r>
        <w:t xml:space="preserve">Underwent percutaneous coronary intervention</w:t>
      </w:r>
    </w:p>
    <w:p>
      <w:pPr>
        <w:numPr>
          <w:ilvl w:val="1"/>
          <w:numId w:val="1003"/>
        </w:numPr>
      </w:pPr>
      <w:r>
        <w:t xml:space="preserve">Non-missing values for admission timing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 of Interest:</w:t>
      </w:r>
      <w:r>
        <w:t xml:space="preserve"> </w:t>
      </w:r>
      <w:r>
        <w:t xml:space="preserve">Weekend admission, categorizing admissions as Saturday–Sunday (weekend) vs. Monday–Friday (weekday).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In-hospital mortality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Secondary Outcomes:</w:t>
      </w:r>
    </w:p>
    <w:p>
      <w:pPr>
        <w:numPr>
          <w:ilvl w:val="2"/>
          <w:numId w:val="1006"/>
        </w:numPr>
      </w:pPr>
      <w:r>
        <w:t xml:space="preserve">Length of stay (LOS), in days</w:t>
      </w:r>
    </w:p>
    <w:p>
      <w:pPr>
        <w:numPr>
          <w:ilvl w:val="2"/>
          <w:numId w:val="1006"/>
        </w:numPr>
      </w:pPr>
      <w:r>
        <w:t xml:space="preserve">Inflation-adjusted total hospital charges (in 2020 USD)</w:t>
      </w:r>
    </w:p>
    <w:p>
      <w:pPr>
        <w:numPr>
          <w:ilvl w:val="2"/>
          <w:numId w:val="1006"/>
        </w:numPr>
      </w:pPr>
      <w:r>
        <w:t xml:space="preserve">Mechanical ventilation use</w:t>
      </w:r>
    </w:p>
    <w:p>
      <w:pPr>
        <w:numPr>
          <w:ilvl w:val="2"/>
          <w:numId w:val="1006"/>
        </w:numPr>
      </w:pPr>
      <w:r>
        <w:t xml:space="preserve">Favorable discharge (discharge to home or home health; all other dispositions were classified as unfavorable)</w:t>
      </w:r>
    </w:p>
    <w:p>
      <w:pPr>
        <w:numPr>
          <w:ilvl w:val="2"/>
          <w:numId w:val="1006"/>
        </w:numPr>
      </w:pPr>
      <w:r>
        <w:t xml:space="preserve">Cardiogenic Shock</w:t>
      </w:r>
    </w:p>
    <w:p>
      <w:pPr>
        <w:numPr>
          <w:ilvl w:val="2"/>
          <w:numId w:val="1006"/>
        </w:numPr>
      </w:pPr>
      <w:r>
        <w:t xml:space="preserve">Cardaic arrest</w:t>
      </w:r>
    </w:p>
    <w:p>
      <w:pPr>
        <w:numPr>
          <w:ilvl w:val="2"/>
          <w:numId w:val="1006"/>
        </w:numPr>
      </w:pPr>
      <w:r>
        <w:t xml:space="preserve">Acute kidney injury</w:t>
      </w:r>
    </w:p>
    <w:p>
      <w:pPr>
        <w:numPr>
          <w:ilvl w:val="2"/>
          <w:numId w:val="1006"/>
        </w:numPr>
      </w:pPr>
      <w:r>
        <w:t xml:space="preserve">GI hemorrhage</w:t>
      </w:r>
    </w:p>
    <w:p>
      <w:pPr>
        <w:numPr>
          <w:ilvl w:val="2"/>
          <w:numId w:val="1006"/>
        </w:numPr>
      </w:pPr>
      <w:r>
        <w:t xml:space="preserve">Stroke</w:t>
      </w:r>
    </w:p>
    <w:p>
      <w:pPr>
        <w:numPr>
          <w:ilvl w:val="2"/>
          <w:numId w:val="1006"/>
        </w:numPr>
      </w:pPr>
      <w:r>
        <w:t xml:space="preserve">Pulmonary artery catheterization</w:t>
      </w:r>
    </w:p>
    <w:p>
      <w:pPr>
        <w:numPr>
          <w:ilvl w:val="2"/>
          <w:numId w:val="1006"/>
        </w:numPr>
      </w:pPr>
      <w:r>
        <w:t xml:space="preserve">Sepsis</w:t>
      </w:r>
    </w:p>
    <w:p>
      <w:pPr>
        <w:numPr>
          <w:ilvl w:val="2"/>
          <w:numId w:val="1006"/>
        </w:numPr>
      </w:pPr>
      <w:r>
        <w:t xml:space="preserve">Urinary tract infection</w:t>
      </w:r>
    </w:p>
    <w:p>
      <w:pPr>
        <w:numPr>
          <w:ilvl w:val="2"/>
          <w:numId w:val="1006"/>
        </w:numPr>
      </w:pPr>
      <w:r>
        <w:t xml:space="preserve">Undergoing CABG</w:t>
      </w:r>
    </w:p>
    <w:p>
      <w:pPr>
        <w:numPr>
          <w:ilvl w:val="2"/>
          <w:numId w:val="1006"/>
        </w:numPr>
      </w:pPr>
      <w:r>
        <w:t xml:space="preserve">Mechanical circulatory support</w:t>
      </w:r>
    </w:p>
    <w:p>
      <w:pPr>
        <w:numPr>
          <w:ilvl w:val="2"/>
          <w:numId w:val="1006"/>
        </w:numPr>
      </w:pPr>
      <w:r>
        <w:t xml:space="preserve">Coronary artery dissection</w:t>
      </w:r>
    </w:p>
    <w:p>
      <w:pPr>
        <w:numPr>
          <w:ilvl w:val="2"/>
          <w:numId w:val="1006"/>
        </w:numPr>
      </w:pPr>
      <w:r>
        <w:t xml:space="preserve">Coronary artery perforation</w:t>
      </w:r>
    </w:p>
    <w:p>
      <w:pPr>
        <w:numPr>
          <w:ilvl w:val="2"/>
          <w:numId w:val="1006"/>
        </w:numPr>
      </w:pPr>
      <w:r>
        <w:t xml:space="preserve">Postprocedural complications</w:t>
      </w:r>
    </w:p>
    <w:p>
      <w:pPr>
        <w:numPr>
          <w:ilvl w:val="2"/>
          <w:numId w:val="1006"/>
        </w:numPr>
      </w:pPr>
      <w:r>
        <w:t xml:space="preserve">Ventricular arrhythmia</w:t>
      </w:r>
    </w:p>
    <w:p>
      <w:pPr>
        <w:numPr>
          <w:ilvl w:val="2"/>
          <w:numId w:val="1006"/>
        </w:numPr>
      </w:pPr>
      <w:r>
        <w:t xml:space="preserve">Blood transfusion</w:t>
      </w:r>
    </w:p>
    <w:p>
      <w:pPr>
        <w:numPr>
          <w:ilvl w:val="2"/>
          <w:numId w:val="1006"/>
        </w:numPr>
      </w:pPr>
      <w:r>
        <w:t xml:space="preserve">Recurrent MI during the hospital stay</w:t>
      </w:r>
    </w:p>
    <w:p>
      <w:pPr>
        <w:numPr>
          <w:ilvl w:val="2"/>
          <w:numId w:val="1006"/>
        </w:numPr>
      </w:pPr>
      <w:r>
        <w:t xml:space="preserve">Intra-aortic balloon pump</w:t>
      </w:r>
    </w:p>
    <w:p>
      <w:pPr>
        <w:numPr>
          <w:ilvl w:val="2"/>
          <w:numId w:val="1006"/>
        </w:numPr>
      </w:pPr>
      <w:r>
        <w:t xml:space="preserve">Hemodialysis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Demographic Factors:</w:t>
      </w:r>
      <w:r>
        <w:t xml:space="preserve"> </w:t>
      </w:r>
      <w:r>
        <w:t xml:space="preserve">Age, sex, race/ethnicity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Socioeconomic Factors:</w:t>
      </w:r>
      <w:r>
        <w:t xml:space="preserve"> </w:t>
      </w:r>
      <w:r>
        <w:t xml:space="preserve">Primary payer, ZIP code–based income quartile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Elixhauser comorbidity index, thrombolytic drugs given, type of acute myocardial infarction (STEMI or NSTEMI)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bed size, and teaching status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9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9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10"/>
        </w:numPr>
      </w:pPr>
      <w:r>
        <w:t xml:space="preserve">Binary outcomes (e.g., mortality, mechanical ventilation, discharge):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1"/>
    <w:bookmarkStart w:id="2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516,320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386,455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129,865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407,460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290,365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117,095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295,325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217,180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78,145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636,190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465,295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170,895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680,940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499,385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181,555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24,615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17,745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6,870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85,035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62,095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22,940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75,975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55,395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20,580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29,680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21,785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31,300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11,815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90,520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66,240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461,095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341,490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119,605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8,000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289,865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209,405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80,460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53,900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39,020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14,880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267,095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196,015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71,080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254,820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186,905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221,215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161,940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172,265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125,860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222,020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162,815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149,765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111,280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38,485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382,755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279,415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103,340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129,000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490,420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359,695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130,725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279,625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204,890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161,510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117,925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43,585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58,985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43,405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15,580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176,110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128,800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696,460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510,305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186,155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275,265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200,215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75,050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656,290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482,295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173,995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angiography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858,075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627,835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230,240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2"/>
    <w:bookmarkStart w:id="2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31,070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22,645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8,425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90,547 (63,849, 137,272)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89,989 (63,417, 136,581)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92,098 (65,108, 139,061)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54,255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39,165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15,090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Favorable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824,155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603,960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220,195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49,345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18,570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Cardaic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30,940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22,175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8,765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146,410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GI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14,235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10,575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Hemorrhagic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9,620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6,980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artery catheterization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7,380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15,170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10,955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20,115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904,095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662,395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241,700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Undergoing CABG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10,990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60,175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44,245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15,930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dissection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perforation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87,990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65,325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22,665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109,660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78,345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31,315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28,865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21,205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7,660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Recurrent 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Intra-aortic balloon pump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35,345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25,525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9,820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Hemodialysis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98,625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3"/>
    <w:bookmarkStart w:id="4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4.62, 5.25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4.41, 4.88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favorable-discharge"/>
    <w:p>
      <w:pPr>
        <w:pStyle w:val="Heading3"/>
      </w:pPr>
      <w:r>
        <w:t xml:space="preserve">Favorable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5.94, 6.51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ac-arrest"/>
    <w:p>
      <w:pPr>
        <w:pStyle w:val="Heading3"/>
      </w:pPr>
      <w:r>
        <w:t xml:space="preserve">Cardiac Arrest: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4.54, 5.15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gi-hemorrhage"/>
    <w:p>
      <w:pPr>
        <w:pStyle w:val="Heading3"/>
      </w:pPr>
      <w:r>
        <w:t xml:space="preserve">GI Hemorrhage: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troke"/>
    <w:p>
      <w:pPr>
        <w:pStyle w:val="Heading3"/>
      </w:pPr>
      <w:r>
        <w:t xml:space="preserve">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pulmonary-artery-catheterization"/>
    <w:p>
      <w:pPr>
        <w:pStyle w:val="Heading3"/>
      </w:pPr>
      <w:r>
        <w:t xml:space="preserve">Pulmonary artery catheterization: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2.86, 3.60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urinary-tract-infection"/>
    <w:p>
      <w:pPr>
        <w:pStyle w:val="Heading3"/>
      </w:pPr>
      <w:r>
        <w:t xml:space="preserve">Urinary tract infection: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Start w:id="35" w:name="undergoing-cabg"/>
    <w:p>
      <w:pPr>
        <w:pStyle w:val="Heading3"/>
      </w:pPr>
      <w:r>
        <w:t xml:space="preserve">Undergoing CABG: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5"/>
    <w:bookmarkStart w:id="36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2.99, 3.26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6"/>
    <w:bookmarkStart w:id="37" w:name="coronary-artery-dissection"/>
    <w:p>
      <w:pPr>
        <w:pStyle w:val="Heading3"/>
      </w:pPr>
      <w:r>
        <w:t xml:space="preserve">Coronary artery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coronary-artery-perforation"/>
    <w:p>
      <w:pPr>
        <w:pStyle w:val="Heading3"/>
      </w:pPr>
      <w:r>
        <w:t xml:space="preserve">Coronary artery perforation: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Start w:id="39" w:name="postprocedural-complications"/>
    <w:p>
      <w:pPr>
        <w:pStyle w:val="Heading3"/>
      </w:pPr>
      <w:r>
        <w:t xml:space="preserve">Postprocedural complications: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9"/>
    <w:bookmarkStart w:id="40" w:name="ventricular-arrhythmia"/>
    <w:p>
      <w:pPr>
        <w:pStyle w:val="Heading3"/>
      </w:pPr>
      <w:r>
        <w:t xml:space="preserve">Ventricular arrhythmia: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4.40, 4.71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0"/>
    <w:bookmarkStart w:id="41" w:name="blood-transfusion"/>
    <w:p>
      <w:pPr>
        <w:pStyle w:val="Heading3"/>
      </w:pPr>
      <w:r>
        <w:t xml:space="preserve">Blood transfusion: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1.71, 2.51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1"/>
    <w:bookmarkStart w:id="42" w:name="recurrent-mi"/>
    <w:p>
      <w:pPr>
        <w:pStyle w:val="Heading3"/>
      </w:pPr>
      <w:r>
        <w:t xml:space="preserve">Recurrent MI: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2"/>
    <w:bookmarkStart w:id="43" w:name="intra-aortic-balloon-pump"/>
    <w:p>
      <w:pPr>
        <w:pStyle w:val="Heading3"/>
      </w:pPr>
      <w:r>
        <w:t xml:space="preserve">Intra-aortic balloon pump: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3.88, 4.35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3"/>
    <w:bookmarkStart w:id="44" w:name="hemodialysis"/>
    <w:p>
      <w:pPr>
        <w:pStyle w:val="Heading3"/>
      </w:pPr>
      <w:r>
        <w:t xml:space="preserve">Hemodialysis: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2.67, 2.88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4"/>
    <w:bookmarkEnd w:id="45"/>
    <w:bookmarkStart w:id="48" w:name="multivariable-linear-regression"/>
    <w:p>
      <w:pPr>
        <w:pStyle w:val="Heading2"/>
      </w:pPr>
      <w:r>
        <w:t xml:space="preserve">Multivariable linear regression:</w:t>
      </w:r>
    </w:p>
    <w:bookmarkStart w:id="4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6"/>
    <w:bookmarkStart w:id="47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350, 2,681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13,877, 16,567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79, 213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4,646, 7,120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13,801, 26,069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-1,330, 4,549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17,709, 25,284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-15,175, 4.3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15,473, 27,186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1,597, 8,164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-2,747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-5,503, 10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-2,501, 3,667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-3,131, 1,917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-3,103, 1,004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-2,565, 2,522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945, 8,011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17,380, 27,691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18,973, 25,631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38,387, 50,422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-7,063, 1,350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-10,652, -2,228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15,406, 26,258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12,886, 22,801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14,258, 15,611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nature.com/articles/s41598-024-59571-w#Sec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nature.com/articles/s41598-024-59571-w#Sec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Weekend Admission on In-Hospital Outcomes in Patients with Acute Myocardial Infarction Undergoing Percutaneous Coronary Intervention</dc:title>
  <dc:creator>Eliza Aisha</dc:creator>
  <cp:keywords/>
  <dcterms:created xsi:type="dcterms:W3CDTF">2026-04-12T19:05:18Z</dcterms:created>
  <dcterms:modified xsi:type="dcterms:W3CDTF">2026-04-12T19:05:18Z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for RCOP 2025Apr-NIS-Cardio2</vt:lpwstr>
  </property>
  <property fmtid="{D5CDD505-2E9C-101B-9397-08002B2CF9AE}" pid="12" name="toc-title">
    <vt:lpwstr>Table of contents</vt:lpwstr>
  </property>
</Properties>
</file>