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Weekend Admission on In-Hospital Outcomes in Patients with Acute Myocardial Infarction Undergoing Percutaneous Coronary Intervention</w:t>
      </w:r>
    </w:p>
    <w:p>
      <w:pPr>
        <w:pStyle w:val="Subtitle"/>
      </w:pPr>
      <w:r>
        <w:t xml:space="preserve">Analysis for RCOP 2025Apr-NIS-Cardio2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Liu et al., 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  <w:r>
        <w:t xml:space="preserve"> </w:t>
      </w:r>
      <w:r>
        <w:t xml:space="preserve">To evaluate the association between weekend admission and in-hospital outcomes among adult patients hospitalized for acute myocardial infarction who underwent percutaneous coronary intervention.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  <w:r>
        <w:t xml:space="preserve"> </w:t>
      </w:r>
      <w:r>
        <w:t xml:space="preserve">A retrospective cross-sectional study using the National Inpatient Sample (NIS), years 2018–2020.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Hospitalizations were included if they met the following criteria</w:t>
      </w:r>
    </w:p>
    <w:p>
      <w:pPr>
        <w:numPr>
          <w:ilvl w:val="1"/>
          <w:numId w:val="1003"/>
        </w:numPr>
      </w:pPr>
      <w:r>
        <w:t xml:space="preserve">Age ≥ 18 years</w:t>
      </w:r>
    </w:p>
    <w:p>
      <w:pPr>
        <w:numPr>
          <w:ilvl w:val="1"/>
          <w:numId w:val="1003"/>
        </w:numPr>
      </w:pPr>
      <w:r>
        <w:t xml:space="preserve">Principal diagnosis of acute myocardial infarction</w:t>
      </w:r>
    </w:p>
    <w:p>
      <w:pPr>
        <w:numPr>
          <w:ilvl w:val="1"/>
          <w:numId w:val="1003"/>
        </w:numPr>
      </w:pPr>
      <w:r>
        <w:t xml:space="preserve">Underwent percutaneous coronary intervention</w:t>
      </w:r>
    </w:p>
    <w:p>
      <w:pPr>
        <w:numPr>
          <w:ilvl w:val="1"/>
          <w:numId w:val="1003"/>
        </w:numPr>
      </w:pPr>
      <w:r>
        <w:t xml:space="preserve">Non-missing values for admission timing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Exposure of Interest:</w:t>
      </w:r>
      <w:r>
        <w:t xml:space="preserve"> </w:t>
      </w:r>
      <w:r>
        <w:t xml:space="preserve">Weekend admission, categorizing admissions as Saturday–Sunday (weekend) vs. Monday–Friday (weekday).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In-hospital mortality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6"/>
        </w:numPr>
      </w:pPr>
      <w:r>
        <w:t xml:space="preserve">Length of stay (LOS), in days</w:t>
      </w:r>
    </w:p>
    <w:p>
      <w:pPr>
        <w:numPr>
          <w:ilvl w:val="2"/>
          <w:numId w:val="1006"/>
        </w:numPr>
      </w:pPr>
      <w:r>
        <w:t xml:space="preserve">Inflation-adjusted total hospital charges (in 2020 USD)</w:t>
      </w:r>
    </w:p>
    <w:p>
      <w:pPr>
        <w:numPr>
          <w:ilvl w:val="2"/>
          <w:numId w:val="1006"/>
        </w:numPr>
      </w:pPr>
      <w:r>
        <w:t xml:space="preserve">Mechanical ventilation use</w:t>
      </w:r>
    </w:p>
    <w:p>
      <w:pPr>
        <w:numPr>
          <w:ilvl w:val="2"/>
          <w:numId w:val="1006"/>
        </w:numPr>
      </w:pPr>
      <w:r>
        <w:t xml:space="preserve">Favorable discharge (discharge to home or home health; all other dispositions were classified as unfavorable)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 (continuous), sex, race/ethnicity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code–based income quartile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index, thrombolytic drugs given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and teaching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9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9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8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10"/>
        </w:numPr>
      </w:pPr>
      <w:r>
        <w:t xml:space="preserve">Binary outcomes (e.g., mortality, mechanical ventilation, discharge):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10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10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931,555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Monday-Friday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682,510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Saturday-Sunday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249,045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295,325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217,180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78,145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636,190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465,295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170,895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680,940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499,385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181,555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17,745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85,035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62,095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75,975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55,395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20,580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29,680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21,785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43,115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31,300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11,815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90,520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66,240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24,280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461,095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341,490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119,605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21,750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289,865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209,405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53,900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39,020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14,880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196,015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254,820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186,905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221,215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161,940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59,275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125,860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162,815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59,205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111,280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382,755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279,415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103,340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177,015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129,000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48,015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490,420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359,695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130,725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279,625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204,890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74,735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161,510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117,925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58,985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43,405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15,580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176,110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128,800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696,460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510,305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186,155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275,265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200,215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656,290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482,295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173,995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931,555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Monday-Friday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682,510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Saturday-Sunday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249,045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31,070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22,645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8,425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(2.00,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90,547 (63,849, 137,272)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89,989 (63,417, 136,581)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92,098 (65,108, 139,061)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54,255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39,165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15,090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824,155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603,960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220,195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4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Weekend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mechanical-ventilation"/>
    <w:p>
      <w:pPr>
        <w:pStyle w:val="Heading3"/>
      </w:pPr>
      <w:r>
        <w:t xml:space="preserve">Mechanical ventilation: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Weekend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favorable-discharge"/>
    <w:p>
      <w:pPr>
        <w:pStyle w:val="Heading3"/>
      </w:pPr>
      <w:r>
        <w:t xml:space="preserve">Favorable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Weekend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Weekend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Weekend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1,002, 3,317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41, 175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5,034, 7,516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13,721, 26,101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-2,260, 3,606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17,373, 24,933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-15,691, -385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16,094, 27,813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Thrombolytic drugs given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3,690, 10,217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-6,410, -950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-2,117, 4,016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-3,260, 1,738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-2,949, 1,162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-2,363, 2,705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1,334, 8,362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17,600, 27,920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19,229, 25,865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38,963, 51,049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-7,131, 1,262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-10,853, -2,436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15,373, 26,171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12,846, 22,727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14,017, 15,358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ature.com/articles/s41598-024-59571-w#Sec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ature.com/articles/s41598-024-59571-w#Sec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Weekend Admission on In-Hospital Outcomes in Patients with Acute Myocardial Infarction Undergoing Percutaneous Coronary Intervention</dc:title>
  <dc:creator>Eliza Aisha</dc:creator>
  <cp:keywords/>
  <dcterms:created xsi:type="dcterms:W3CDTF">2025-05-20T05:01:44Z</dcterms:created>
  <dcterms:modified xsi:type="dcterms:W3CDTF">2025-05-20T05:01:44Z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2025Apr-NIS-Cardio2</vt:lpwstr>
  </property>
  <property fmtid="{D5CDD505-2E9C-101B-9397-08002B2CF9AE}" pid="12" name="toc-title">
    <vt:lpwstr>Table of contents</vt:lpwstr>
  </property>
</Properties>
</file>