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 of Weekend Admission on In-Hospital Outcomes in Patients with Acute Myocardial Infarction Undergoing Percutaneous Coronary Intervention</w:t>
      </w:r>
    </w:p>
    <w:p>
      <w:pPr>
        <w:pStyle w:val="Subtitle"/>
      </w:pPr>
      <w:r>
        <w:t xml:space="preserve">Analysis for RCOP 2025Apr-NIS-Cardio2</w:t>
      </w:r>
    </w:p>
    <w:p>
      <w:pPr>
        <w:pStyle w:val="Author"/>
      </w:pPr>
      <w:r>
        <w:t xml:space="preserve">Eliza Aisha</w:t>
      </w:r>
    </w:p>
    <w:bookmarkStart w:id="21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Studies:</w:t>
      </w:r>
    </w:p>
    <w:p>
      <w:pPr>
        <w:pStyle w:val="Compact"/>
        <w:numPr>
          <w:ilvl w:val="1"/>
          <w:numId w:val="1002"/>
        </w:numPr>
      </w:pPr>
      <w:hyperlink r:id="rId20">
        <w:r>
          <w:rPr>
            <w:rStyle w:val="Hyperlink"/>
          </w:rPr>
          <w:t xml:space="preserve">Liu et al., 2024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Objective:</w:t>
      </w:r>
      <w:r>
        <w:t xml:space="preserve"> </w:t>
      </w:r>
      <w:r>
        <w:t xml:space="preserve">To evaluate the association between weekend admission and in-hospital outcomes among adult patients hospitalized for acute myocardial infarction who underwent percutaneous coronary intervention.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Source:</w:t>
      </w:r>
      <w:r>
        <w:t xml:space="preserve"> </w:t>
      </w:r>
      <w:r>
        <w:t xml:space="preserve">A retrospective cross-sectional study using the National Inpatient Sample (NIS), years 2018–2020.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  <w:r>
        <w:t xml:space="preserve"> </w:t>
      </w:r>
      <w:r>
        <w:t xml:space="preserve">Hospitalizations were included if they met the following criteria</w:t>
      </w:r>
    </w:p>
    <w:p>
      <w:pPr>
        <w:numPr>
          <w:ilvl w:val="1"/>
          <w:numId w:val="1003"/>
        </w:numPr>
      </w:pPr>
      <w:r>
        <w:t xml:space="preserve">Age ≥ 18 years</w:t>
      </w:r>
    </w:p>
    <w:p>
      <w:pPr>
        <w:numPr>
          <w:ilvl w:val="1"/>
          <w:numId w:val="1003"/>
        </w:numPr>
      </w:pPr>
      <w:r>
        <w:t xml:space="preserve">Principal diagnosis of acute myocardial infarction</w:t>
      </w:r>
    </w:p>
    <w:p>
      <w:pPr>
        <w:numPr>
          <w:ilvl w:val="1"/>
          <w:numId w:val="1003"/>
        </w:numPr>
      </w:pPr>
      <w:r>
        <w:t xml:space="preserve">Underwent percutaneous coronary intervention</w:t>
      </w:r>
    </w:p>
    <w:p>
      <w:pPr>
        <w:numPr>
          <w:ilvl w:val="1"/>
          <w:numId w:val="1003"/>
        </w:numPr>
      </w:pPr>
      <w:r>
        <w:t xml:space="preserve">Non-missing values for admission timing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Exposure of Interest:</w:t>
      </w:r>
      <w:r>
        <w:t xml:space="preserve"> </w:t>
      </w:r>
      <w:r>
        <w:t xml:space="preserve">Weekend admission, categorizing admissions as Saturday–Sunday (weekend) vs. Monday–Friday (weekday).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Outcomes of Interest: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Primary Outcome:</w:t>
      </w:r>
    </w:p>
    <w:p>
      <w:pPr>
        <w:pStyle w:val="Compact"/>
        <w:numPr>
          <w:ilvl w:val="2"/>
          <w:numId w:val="1005"/>
        </w:numPr>
      </w:pPr>
      <w:r>
        <w:t xml:space="preserve">In-hospital mortality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Secondary Outcomes:</w:t>
      </w:r>
    </w:p>
    <w:p>
      <w:pPr>
        <w:numPr>
          <w:ilvl w:val="2"/>
          <w:numId w:val="1006"/>
        </w:numPr>
      </w:pPr>
      <w:r>
        <w:t xml:space="preserve">Length of stay (LOS), in days</w:t>
      </w:r>
    </w:p>
    <w:p>
      <w:pPr>
        <w:numPr>
          <w:ilvl w:val="2"/>
          <w:numId w:val="1006"/>
        </w:numPr>
      </w:pPr>
      <w:r>
        <w:t xml:space="preserve">Inflation-adjusted total hospital charges (in 2020 USD)</w:t>
      </w:r>
    </w:p>
    <w:p>
      <w:pPr>
        <w:numPr>
          <w:ilvl w:val="2"/>
          <w:numId w:val="1006"/>
        </w:numPr>
      </w:pPr>
      <w:r>
        <w:t xml:space="preserve">Mechanical ventilation use</w:t>
      </w:r>
    </w:p>
    <w:p>
      <w:pPr>
        <w:numPr>
          <w:ilvl w:val="2"/>
          <w:numId w:val="1006"/>
        </w:numPr>
      </w:pPr>
      <w:r>
        <w:t xml:space="preserve">Favorable discharge (discharge to home or home health; all other dispositions were classified as unfavorable)</w:t>
      </w:r>
    </w:p>
    <w:p>
      <w:pPr>
        <w:numPr>
          <w:ilvl w:val="2"/>
          <w:numId w:val="1006"/>
        </w:numPr>
      </w:pPr>
      <w:r>
        <w:t xml:space="preserve">Cardiogenic Shock</w:t>
      </w:r>
    </w:p>
    <w:p>
      <w:pPr>
        <w:numPr>
          <w:ilvl w:val="2"/>
          <w:numId w:val="1006"/>
        </w:numPr>
      </w:pPr>
      <w:r>
        <w:t xml:space="preserve">Cardaic arrest</w:t>
      </w:r>
    </w:p>
    <w:p>
      <w:pPr>
        <w:numPr>
          <w:ilvl w:val="2"/>
          <w:numId w:val="1006"/>
        </w:numPr>
      </w:pPr>
      <w:r>
        <w:t xml:space="preserve">Acute kidney injury</w:t>
      </w:r>
    </w:p>
    <w:p>
      <w:pPr>
        <w:numPr>
          <w:ilvl w:val="2"/>
          <w:numId w:val="1006"/>
        </w:numPr>
      </w:pPr>
      <w:r>
        <w:t xml:space="preserve">GI hemorrhage</w:t>
      </w:r>
    </w:p>
    <w:p>
      <w:pPr>
        <w:numPr>
          <w:ilvl w:val="2"/>
          <w:numId w:val="1006"/>
        </w:numPr>
      </w:pPr>
      <w:r>
        <w:t xml:space="preserve">Stroke</w:t>
      </w:r>
    </w:p>
    <w:p>
      <w:pPr>
        <w:numPr>
          <w:ilvl w:val="2"/>
          <w:numId w:val="1006"/>
        </w:numPr>
      </w:pPr>
      <w:r>
        <w:t xml:space="preserve">Pulmonary artery catheterization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 for Adjustment:</w:t>
      </w:r>
      <w:r>
        <w:t xml:space="preserve"> </w:t>
      </w:r>
      <w:r>
        <w:t xml:space="preserve">All models adjusted for the following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Demographic Factors:</w:t>
      </w:r>
      <w:r>
        <w:t xml:space="preserve"> </w:t>
      </w:r>
      <w:r>
        <w:t xml:space="preserve">Age, sex, race/ethnicity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Socioeconomic Factors:</w:t>
      </w:r>
      <w:r>
        <w:t xml:space="preserve"> </w:t>
      </w:r>
      <w:r>
        <w:t xml:space="preserve">Primary payer, ZIP code–based income quartile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Clinical Factors:</w:t>
      </w:r>
      <w:r>
        <w:t xml:space="preserve"> </w:t>
      </w:r>
      <w:r>
        <w:t xml:space="preserve">Elixhauser comorbidity index, thrombolytic drugs given, type of acute myocardial infarction (STEMI or NSTEMI)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Hospital-Level Factors:</w:t>
      </w:r>
      <w:r>
        <w:t xml:space="preserve"> </w:t>
      </w:r>
      <w:r>
        <w:t xml:space="preserve">Hospital region, bed size, and teaching status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Univariable Analysis:</w:t>
      </w:r>
    </w:p>
    <w:p>
      <w:pPr>
        <w:numPr>
          <w:ilvl w:val="2"/>
          <w:numId w:val="1009"/>
        </w:numPr>
      </w:pPr>
      <w:r>
        <w:t xml:space="preserve">Categorical variables: Compared using Pearson’s chi-square test with Rao &amp; Scott adjustment</w:t>
      </w:r>
    </w:p>
    <w:p>
      <w:pPr>
        <w:numPr>
          <w:ilvl w:val="2"/>
          <w:numId w:val="1009"/>
        </w:numPr>
      </w:pPr>
      <w:r>
        <w:t xml:space="preserve">Continuous variables: Analyzed using the design-based Kruskal–Wallis test, a non-parametric alternative suitable for survey-weighted data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Multivariable Analysis:</w:t>
      </w:r>
    </w:p>
    <w:p>
      <w:pPr>
        <w:numPr>
          <w:ilvl w:val="2"/>
          <w:numId w:val="1010"/>
        </w:numPr>
      </w:pPr>
      <w:r>
        <w:t xml:space="preserve">Binary outcomes (e.g., mortality, mechanical ventilation, discharge): Survey-weighted logistic regression using the</w:t>
      </w:r>
      <w:r>
        <w:t xml:space="preserve"> </w:t>
      </w:r>
      <w:r>
        <w:rPr>
          <w:rStyle w:val="VerbatimChar"/>
        </w:rPr>
        <w:t xml:space="preserve">quasibinomial</w:t>
      </w:r>
      <w:r>
        <w:t xml:space="preserve"> </w:t>
      </w:r>
      <w:r>
        <w:t xml:space="preserve">family</w:t>
      </w:r>
    </w:p>
    <w:p>
      <w:pPr>
        <w:numPr>
          <w:ilvl w:val="2"/>
          <w:numId w:val="1010"/>
        </w:numPr>
      </w:pPr>
      <w:r>
        <w:t xml:space="preserve">Continuous outcomes (e.g., LOS, hospital charges): Survey-weighted linear regression using the</w:t>
      </w:r>
      <w:r>
        <w:t xml:space="preserve"> </w:t>
      </w:r>
      <w:r>
        <w:rPr>
          <w:rStyle w:val="VerbatimChar"/>
        </w:rPr>
        <w:t xml:space="preserve">gaussian</w:t>
      </w:r>
      <w:r>
        <w:t xml:space="preserve"> </w:t>
      </w:r>
      <w:r>
        <w:t xml:space="preserve">family</w:t>
      </w:r>
    </w:p>
    <w:p>
      <w:pPr>
        <w:numPr>
          <w:ilvl w:val="2"/>
          <w:numId w:val="1010"/>
        </w:numPr>
      </w:pPr>
      <w:r>
        <w:t xml:space="preserve">Results reported as adjusted odds ratios (aORs) or beta coefficients with 95% confidence intervals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statistical analyses were performed using the R Statistical Language (Version 4.5.0; R Foundation for Statistical Computing, Vienna, Austria), incorporating survey-weighted procedures via the</w:t>
      </w:r>
      <w:r>
        <w:t xml:space="preserve"> </w:t>
      </w:r>
      <w:r>
        <w:rPr>
          <w:i/>
          <w:iCs/>
        </w:rPr>
        <w:t xml:space="preserve">survey</w:t>
      </w:r>
      <w:r>
        <w:t xml:space="preserve"> </w:t>
      </w:r>
      <w:r>
        <w:t xml:space="preserve">package to account for the complex sampling design of NIS.</w:t>
      </w:r>
    </w:p>
    <w:bookmarkEnd w:id="21"/>
    <w:bookmarkStart w:id="22" w:name="baseline-table"/>
    <w:p>
      <w:pPr>
        <w:pStyle w:val="Heading2"/>
      </w:pPr>
      <w:r>
        <w:t xml:space="preserve">Baseline table: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931,555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Monday-Friday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682,510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Saturday-Sunday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249,045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516,320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386,455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129,865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407,460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290,365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117,095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295,325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217,180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78,145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636,190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465,295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170,895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680,940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499,385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181,555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24,615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17,745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6,870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85,035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62,095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22,940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75,975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55,395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20,580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5,645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4,120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1,525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29,680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21,785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7,895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Thrombolytic drugs given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43,115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31,300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11,815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90,520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66,240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24,280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461,095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341,490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119,605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4,880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3,530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1,350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29,750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21,750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8,000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289,865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209,405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80,460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53,900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39,020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14,880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267,095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196,015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71,080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254,820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186,905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67,915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221,215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161,940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59,275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172,265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125,860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46,405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222,020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162,815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59,205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149,765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111,280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38,485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382,755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279,415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103,340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177,015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129,000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48,015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490,420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359,695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130,725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279,625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204,890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74,735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161,510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117,925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43,585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location/teaching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58,985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43,405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15,580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176,110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128,800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47,310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696,460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510,305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186,155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of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275,265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200,215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75,050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656,290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482,295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173,995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Mean (SD)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adjustment; Design-based KruskalWallis test</w:t>
            </w:r>
          </w:p>
        </w:tc>
      </w:tr>
    </w:tbl>
    <w:bookmarkEnd w:id="22"/>
    <w:bookmarkStart w:id="23" w:name="univariable-analysis"/>
    <w:p>
      <w:pPr>
        <w:pStyle w:val="Heading2"/>
      </w:pPr>
      <w:r>
        <w:t xml:space="preserve">Univariable analysis: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931,555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Monday-Friday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682,510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Saturday-Sunday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249,045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31,070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22,645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8,425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90,547 (63,849, 137,272)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89,989 (63,417, 136,581)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92,098 (65,108, 139,061)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Mechanical ventilation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54,255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39,165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15,090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Favorable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824,155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603,960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220,195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Cardiogenic Shock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67,915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49,345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18,570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Cardaic arrest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30,940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22,175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8,765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kidney injury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146,410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106,775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39,635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GI hemorrhage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14,235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10,575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3,660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Hemorrhagic stroke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Ischemic stroke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9,620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6,980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2,640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artery catheterization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7,380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5,450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1,930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adjustment; Design-based KruskalWallis test</w:t>
            </w:r>
          </w:p>
        </w:tc>
      </w:tr>
    </w:tbl>
    <w:bookmarkEnd w:id="23"/>
    <w:bookmarkStart w:id="33" w:name="multivariable-logistic-regression"/>
    <w:p>
      <w:pPr>
        <w:pStyle w:val="Heading2"/>
      </w:pPr>
      <w:r>
        <w:t xml:space="preserve">Multivariable logistic regression:</w:t>
      </w:r>
    </w:p>
    <w:bookmarkStart w:id="24" w:name="in-hospital-mortality"/>
    <w:p>
      <w:pPr>
        <w:pStyle w:val="Heading3"/>
      </w:pPr>
      <w:r>
        <w:t xml:space="preserve">In-hospital mortality: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4.62, 5.25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1.15, 1.57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1.13, 2.22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Thrombolytic drugs given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location/teaching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1.23, 1.66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1.44, 1.48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4"/>
    <w:bookmarkStart w:id="25" w:name="mechanical-ventilation"/>
    <w:p>
      <w:pPr>
        <w:pStyle w:val="Heading3"/>
      </w:pPr>
      <w:r>
        <w:t xml:space="preserve">Mechanical ventilation: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4.41, 4.88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1.33, 1.69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1.21, 1.53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Thrombolytic drugs given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location/teaching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1.57, 1.60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5"/>
    <w:bookmarkStart w:id="26" w:name="favorable-discharge"/>
    <w:p>
      <w:pPr>
        <w:pStyle w:val="Heading3"/>
      </w:pPr>
      <w:r>
        <w:t xml:space="preserve">Favorable discharge: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Thrombolytic drugs given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1.35, 1.55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location/teaching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6"/>
    <w:bookmarkStart w:id="27" w:name="cardiogenic-shock"/>
    <w:p>
      <w:pPr>
        <w:pStyle w:val="Heading3"/>
      </w:pPr>
      <w:r>
        <w:t xml:space="preserve">Cardiogenic Shock: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5.94, 6.51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1.48, 1.83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Thrombolytic drugs given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location/teaching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7"/>
    <w:bookmarkStart w:id="28" w:name="cardiac-arrest"/>
    <w:p>
      <w:pPr>
        <w:pStyle w:val="Heading3"/>
      </w:pPr>
      <w:r>
        <w:t xml:space="preserve">Cardiac Arrest: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4.54, 5.15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Thrombolytic drugs given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location/teaching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8"/>
    <w:bookmarkStart w:id="29" w:name="acute-kidney-injury"/>
    <w:p>
      <w:pPr>
        <w:pStyle w:val="Heading3"/>
      </w:pPr>
      <w:r>
        <w:t xml:space="preserve">Acute Kidney Injury: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1.25, 1.48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1.44, 1.60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Thrombolytic drugs given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location/teaching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1.51, 1.54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9"/>
    <w:bookmarkStart w:id="30" w:name="gi-hemorrhage"/>
    <w:p>
      <w:pPr>
        <w:pStyle w:val="Heading3"/>
      </w:pPr>
      <w:r>
        <w:t xml:space="preserve">GI Hemorrhage: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1.51, 1.78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0.49, 1.59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Thrombolytic drugs given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location/teaching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0"/>
    <w:bookmarkStart w:id="31" w:name="stroke"/>
    <w:p>
      <w:pPr>
        <w:pStyle w:val="Heading3"/>
      </w:pPr>
      <w:r>
        <w:t xml:space="preserve">Stroke: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1.35, 1.94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1.58, 1.91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1.30, 1.79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Thrombolytic drugs given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1.22, 1.60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0.50, 0.64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location/teaching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1"/>
    <w:bookmarkStart w:id="32" w:name="pulmonary-artery-catheterization"/>
    <w:p>
      <w:pPr>
        <w:pStyle w:val="Heading3"/>
      </w:pPr>
      <w:r>
        <w:t xml:space="preserve">Pulmonary artery catheterization: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2.86, 3.60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1.34, 2.26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0.52, 2.16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1.51, 2.42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Thrombolytic drugs given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0.49, 0.77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0.48, 0.66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0.42, 0.63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location/teaching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1.57, 3.34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1.48, 1.55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2"/>
    <w:bookmarkEnd w:id="33"/>
    <w:bookmarkStart w:id="36" w:name="multivariable-linear-regression"/>
    <w:p>
      <w:pPr>
        <w:pStyle w:val="Heading2"/>
      </w:pPr>
      <w:r>
        <w:t xml:space="preserve">Multivariable linear regression:</w:t>
      </w:r>
    </w:p>
    <w:bookmarkStart w:id="34" w:name="length-of-stay"/>
    <w:p>
      <w:pPr>
        <w:pStyle w:val="Heading3"/>
      </w:pPr>
      <w:r>
        <w:t xml:space="preserve">Length of Stay: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0.15, 0.24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0.30, 0.39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0.02, 0.02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-0.07, 0.01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0.43, 0.75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0.22, 0.40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0.29, 0.46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-0.02, 0.56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0.28, 0.59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Thrombolytic drugs given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0.14, 0.33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-0.44, -0.25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-0.33, 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-0.40, 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-0.11, 0.00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-0.11, 0.02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-0.10, 0.05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0.06, 0.21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-0.37, -0.19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-0.38, 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-0.58, -0.42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location/teaching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0.17, 0.41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4"/>
    <w:bookmarkStart w:id="35" w:name="inflation-adjusted-total-charge"/>
    <w:p>
      <w:pPr>
        <w:pStyle w:val="Heading3"/>
      </w:pPr>
      <w:r>
        <w:t xml:space="preserve">Inflation-adjusted total charge: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350, 2,681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STEMI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13,877, 16,567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79, 213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4,646, 7,120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19,935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13,801, 26,069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-1,330, 4,549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17,709, 25,284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-7,585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-15,175, 4.3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15,473, 27,186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Thrombolytic drugs given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1,597, 8,164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-5,503, 10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-2,501, 3,667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-3,131, 1,917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-3,103, 1,004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-2,565, 2,522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945, 8,011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17,380, 27,691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18,973, 25,631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44,405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38,387, 50,422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-2,857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-7,063, 1,350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-6,440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-10,652, -2,228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location/teaching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20,832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15,406, 26,258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17,844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12,886, 22,801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14,258, 15,611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nature.com/articles/s41598-024-59571-w#Sec1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nature.com/articles/s41598-024-59571-w#Sec1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Weekend Admission on In-Hospital Outcomes in Patients with Acute Myocardial Infarction Undergoing Percutaneous Coronary Intervention</dc:title>
  <dc:creator>Eliza Aisha</dc:creator>
  <cp:keywords/>
  <dcterms:created xsi:type="dcterms:W3CDTF">2026-03-27T14:07:16Z</dcterms:created>
  <dcterms:modified xsi:type="dcterms:W3CDTF">2026-03-27T14:07:16Z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Analysis for RCOP 2025Apr-NIS-Cardio2</vt:lpwstr>
  </property>
  <property fmtid="{D5CDD505-2E9C-101B-9397-08002B2CF9AE}" pid="12" name="toc-title">
    <vt:lpwstr>Table of contents</vt:lpwstr>
  </property>
</Properties>
</file>