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Impact of Weekend Admission on In-Hospital Outcomes in Patients with Acute Myocardial Infarction Undergoing Percutaneous Coronary Intervention</w:t>
      </w:r>
    </w:p>
    <w:p>
      <w:pPr>
        <w:pStyle w:val="Subtitle"/>
      </w:pPr>
      <w:r>
        <w:t xml:space="preserve">Analysis for RCOP 2025Apr-NIS-Cardio2</w:t>
      </w:r>
    </w:p>
    <w:p>
      <w:pPr>
        <w:pStyle w:val="Author"/>
      </w:pPr>
      <w:r>
        <w:t xml:space="preserve">Eliza Aisha</w:t>
      </w:r>
    </w:p>
    <w:bookmarkStart w:id="21" w:name="preamble"/>
    <w:p>
      <w:pPr>
        <w:pStyle w:val="Heading2"/>
      </w:pPr>
      <w:r>
        <w:t xml:space="preserve">Preamble: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Reference Studies:</w:t>
      </w:r>
    </w:p>
    <w:p>
      <w:pPr>
        <w:pStyle w:val="Compact"/>
        <w:numPr>
          <w:ilvl w:val="1"/>
          <w:numId w:val="1002"/>
        </w:numPr>
      </w:pPr>
      <w:hyperlink r:id="rId20">
        <w:r>
          <w:rPr>
            <w:rStyle w:val="Hyperlink"/>
          </w:rPr>
          <w:t xml:space="preserve">Liu et al., 2024</w:t>
        </w:r>
      </w:hyperlink>
    </w:p>
    <w:p>
      <w:pPr>
        <w:numPr>
          <w:ilvl w:val="0"/>
          <w:numId w:val="1001"/>
        </w:numPr>
      </w:pPr>
      <w:r>
        <w:rPr>
          <w:b/>
          <w:bCs/>
        </w:rPr>
        <w:t xml:space="preserve">Study Objective:</w:t>
      </w:r>
      <w:r>
        <w:t xml:space="preserve"> </w:t>
      </w:r>
      <w:r>
        <w:t xml:space="preserve">To evaluate the association between weekend admission and in-hospital outcomes among adult patients hospitalized for acute myocardial infarction who underwent percutaneous coronary intervention.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Data Source:</w:t>
      </w:r>
      <w:r>
        <w:t xml:space="preserve"> </w:t>
      </w:r>
      <w:r>
        <w:t xml:space="preserve">A retrospective cross-sectional study using the National Inpatient Sample (NIS), years 2018–2020.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Cohort Definition:</w:t>
      </w:r>
      <w:r>
        <w:t xml:space="preserve"> </w:t>
      </w:r>
      <w:r>
        <w:t xml:space="preserve">Hospitalizations were included if they met the following criteria</w:t>
      </w:r>
    </w:p>
    <w:p>
      <w:pPr>
        <w:numPr>
          <w:ilvl w:val="1"/>
          <w:numId w:val="1003"/>
        </w:numPr>
      </w:pPr>
      <w:r>
        <w:t xml:space="preserve">Age ≥ 18 years</w:t>
      </w:r>
    </w:p>
    <w:p>
      <w:pPr>
        <w:numPr>
          <w:ilvl w:val="1"/>
          <w:numId w:val="1003"/>
        </w:numPr>
      </w:pPr>
      <w:r>
        <w:t xml:space="preserve">Principal diagnosis of acute myocardial infarction</w:t>
      </w:r>
    </w:p>
    <w:p>
      <w:pPr>
        <w:numPr>
          <w:ilvl w:val="1"/>
          <w:numId w:val="1003"/>
        </w:numPr>
      </w:pPr>
      <w:r>
        <w:t xml:space="preserve">Underwent percutaneous coronary intervention</w:t>
      </w:r>
    </w:p>
    <w:p>
      <w:pPr>
        <w:numPr>
          <w:ilvl w:val="1"/>
          <w:numId w:val="1003"/>
        </w:numPr>
      </w:pPr>
      <w:r>
        <w:t xml:space="preserve">Non-missing values for admission timing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Exposure of Interest:</w:t>
      </w:r>
      <w:r>
        <w:t xml:space="preserve"> </w:t>
      </w:r>
      <w:r>
        <w:t xml:space="preserve">Weekend admission, categorizing admissions as Saturday–Sunday (weekend) vs. Monday–Friday (weekday).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Outcomes of Interest:</w:t>
      </w:r>
    </w:p>
    <w:p>
      <w:pPr>
        <w:numPr>
          <w:ilvl w:val="1"/>
          <w:numId w:val="1004"/>
        </w:numPr>
      </w:pPr>
      <w:r>
        <w:rPr>
          <w:b/>
          <w:bCs/>
        </w:rPr>
        <w:t xml:space="preserve">Primary Outcome:</w:t>
      </w:r>
    </w:p>
    <w:p>
      <w:pPr>
        <w:pStyle w:val="Compact"/>
        <w:numPr>
          <w:ilvl w:val="2"/>
          <w:numId w:val="1005"/>
        </w:numPr>
      </w:pPr>
      <w:r>
        <w:t xml:space="preserve">In-hospital mortality</w:t>
      </w:r>
    </w:p>
    <w:p>
      <w:pPr>
        <w:numPr>
          <w:ilvl w:val="1"/>
          <w:numId w:val="1004"/>
        </w:numPr>
      </w:pPr>
      <w:r>
        <w:rPr>
          <w:b/>
          <w:bCs/>
        </w:rPr>
        <w:t xml:space="preserve">Secondary Outcomes:</w:t>
      </w:r>
    </w:p>
    <w:p>
      <w:pPr>
        <w:numPr>
          <w:ilvl w:val="2"/>
          <w:numId w:val="1006"/>
        </w:numPr>
      </w:pPr>
      <w:r>
        <w:t xml:space="preserve">Length of stay (LOS), in days</w:t>
      </w:r>
    </w:p>
    <w:p>
      <w:pPr>
        <w:numPr>
          <w:ilvl w:val="2"/>
          <w:numId w:val="1006"/>
        </w:numPr>
      </w:pPr>
      <w:r>
        <w:t xml:space="preserve">Inflation-adjusted total hospital charges (in 2020 USD)</w:t>
      </w:r>
    </w:p>
    <w:p>
      <w:pPr>
        <w:numPr>
          <w:ilvl w:val="2"/>
          <w:numId w:val="1006"/>
        </w:numPr>
      </w:pPr>
      <w:r>
        <w:t xml:space="preserve">Mechanical ventilation use</w:t>
      </w:r>
    </w:p>
    <w:p>
      <w:pPr>
        <w:numPr>
          <w:ilvl w:val="2"/>
          <w:numId w:val="1006"/>
        </w:numPr>
      </w:pPr>
      <w:r>
        <w:t xml:space="preserve">Favorable discharge (discharge to home or home health; all other dispositions were classified as unfavorable)</w:t>
      </w:r>
    </w:p>
    <w:p>
      <w:pPr>
        <w:numPr>
          <w:ilvl w:val="2"/>
          <w:numId w:val="1006"/>
        </w:numPr>
      </w:pPr>
      <w:r>
        <w:t xml:space="preserve">Cardiogenic Shock</w:t>
      </w:r>
    </w:p>
    <w:p>
      <w:pPr>
        <w:numPr>
          <w:ilvl w:val="2"/>
          <w:numId w:val="1006"/>
        </w:numPr>
      </w:pPr>
      <w:r>
        <w:t xml:space="preserve">Cardaic arrest</w:t>
      </w:r>
    </w:p>
    <w:p>
      <w:pPr>
        <w:numPr>
          <w:ilvl w:val="2"/>
          <w:numId w:val="1006"/>
        </w:numPr>
      </w:pPr>
      <w:r>
        <w:t xml:space="preserve">Acute kidney injury</w:t>
      </w:r>
    </w:p>
    <w:p>
      <w:pPr>
        <w:numPr>
          <w:ilvl w:val="2"/>
          <w:numId w:val="1006"/>
        </w:numPr>
      </w:pPr>
      <w:r>
        <w:t xml:space="preserve">GI hemorrhage</w:t>
      </w:r>
    </w:p>
    <w:p>
      <w:pPr>
        <w:numPr>
          <w:ilvl w:val="2"/>
          <w:numId w:val="1006"/>
        </w:numPr>
      </w:pPr>
      <w:r>
        <w:t xml:space="preserve">Stroke</w:t>
      </w:r>
    </w:p>
    <w:p>
      <w:pPr>
        <w:numPr>
          <w:ilvl w:val="2"/>
          <w:numId w:val="1006"/>
        </w:numPr>
      </w:pPr>
      <w:r>
        <w:t xml:space="preserve">Pulmonary artery catheterization</w:t>
      </w:r>
    </w:p>
    <w:p>
      <w:pPr>
        <w:numPr>
          <w:ilvl w:val="2"/>
          <w:numId w:val="1006"/>
        </w:numPr>
      </w:pPr>
      <w:r>
        <w:t xml:space="preserve">Sepsis</w:t>
      </w:r>
    </w:p>
    <w:p>
      <w:pPr>
        <w:numPr>
          <w:ilvl w:val="2"/>
          <w:numId w:val="1006"/>
        </w:numPr>
      </w:pPr>
      <w:r>
        <w:t xml:space="preserve">Urinary tract infection</w:t>
      </w:r>
    </w:p>
    <w:p>
      <w:pPr>
        <w:numPr>
          <w:ilvl w:val="2"/>
          <w:numId w:val="1006"/>
        </w:numPr>
      </w:pPr>
      <w:r>
        <w:t xml:space="preserve">Undergoing CABG</w:t>
      </w:r>
    </w:p>
    <w:p>
      <w:pPr>
        <w:numPr>
          <w:ilvl w:val="2"/>
          <w:numId w:val="1006"/>
        </w:numPr>
      </w:pPr>
      <w:r>
        <w:t xml:space="preserve">Mechanical circulatory support</w:t>
      </w:r>
    </w:p>
    <w:p>
      <w:pPr>
        <w:numPr>
          <w:ilvl w:val="2"/>
          <w:numId w:val="1006"/>
        </w:numPr>
      </w:pPr>
      <w:r>
        <w:t xml:space="preserve">Coronary artery dissection</w:t>
      </w:r>
    </w:p>
    <w:p>
      <w:pPr>
        <w:numPr>
          <w:ilvl w:val="2"/>
          <w:numId w:val="1006"/>
        </w:numPr>
      </w:pPr>
      <w:r>
        <w:t xml:space="preserve">Coronary artery perforation</w:t>
      </w:r>
    </w:p>
    <w:p>
      <w:pPr>
        <w:numPr>
          <w:ilvl w:val="2"/>
          <w:numId w:val="1006"/>
        </w:numPr>
      </w:pPr>
      <w:r>
        <w:t xml:space="preserve">Postprocedural complications</w:t>
      </w:r>
    </w:p>
    <w:p>
      <w:pPr>
        <w:numPr>
          <w:ilvl w:val="2"/>
          <w:numId w:val="1006"/>
        </w:numPr>
      </w:pPr>
      <w:r>
        <w:t xml:space="preserve">Ventricular arrhythmia</w:t>
      </w:r>
    </w:p>
    <w:p>
      <w:pPr>
        <w:numPr>
          <w:ilvl w:val="2"/>
          <w:numId w:val="1006"/>
        </w:numPr>
      </w:pPr>
      <w:r>
        <w:t xml:space="preserve">Blood transfusion</w:t>
      </w:r>
    </w:p>
    <w:p>
      <w:pPr>
        <w:numPr>
          <w:ilvl w:val="2"/>
          <w:numId w:val="1006"/>
        </w:numPr>
      </w:pPr>
      <w:r>
        <w:t xml:space="preserve">Recurrent MI during the hospital stay</w:t>
      </w:r>
    </w:p>
    <w:p>
      <w:pPr>
        <w:numPr>
          <w:ilvl w:val="2"/>
          <w:numId w:val="1006"/>
        </w:numPr>
      </w:pPr>
      <w:r>
        <w:t xml:space="preserve">Intra-aortic balloon pump</w:t>
      </w:r>
    </w:p>
    <w:p>
      <w:pPr>
        <w:numPr>
          <w:ilvl w:val="2"/>
          <w:numId w:val="1006"/>
        </w:numPr>
      </w:pPr>
      <w:r>
        <w:t xml:space="preserve">Hemodialysis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Covariates for Adjustment:</w:t>
      </w:r>
      <w:r>
        <w:t xml:space="preserve"> </w:t>
      </w:r>
      <w:r>
        <w:t xml:space="preserve">All models adjusted for the following</w:t>
      </w:r>
    </w:p>
    <w:p>
      <w:pPr>
        <w:numPr>
          <w:ilvl w:val="1"/>
          <w:numId w:val="1007"/>
        </w:numPr>
      </w:pPr>
      <w:r>
        <w:rPr>
          <w:b/>
          <w:bCs/>
        </w:rPr>
        <w:t xml:space="preserve">Demographic Factors:</w:t>
      </w:r>
      <w:r>
        <w:t xml:space="preserve"> </w:t>
      </w:r>
      <w:r>
        <w:t xml:space="preserve">Age, sex, race/ethnicity</w:t>
      </w:r>
    </w:p>
    <w:p>
      <w:pPr>
        <w:numPr>
          <w:ilvl w:val="1"/>
          <w:numId w:val="1007"/>
        </w:numPr>
      </w:pPr>
      <w:r>
        <w:rPr>
          <w:b/>
          <w:bCs/>
        </w:rPr>
        <w:t xml:space="preserve">Socioeconomic Factors:</w:t>
      </w:r>
      <w:r>
        <w:t xml:space="preserve"> </w:t>
      </w:r>
      <w:r>
        <w:t xml:space="preserve">Primary payer, ZIP code–based income quartile</w:t>
      </w:r>
    </w:p>
    <w:p>
      <w:pPr>
        <w:numPr>
          <w:ilvl w:val="1"/>
          <w:numId w:val="1007"/>
        </w:numPr>
      </w:pPr>
      <w:r>
        <w:rPr>
          <w:b/>
          <w:bCs/>
        </w:rPr>
        <w:t xml:space="preserve">Clinical Factors:</w:t>
      </w:r>
      <w:r>
        <w:t xml:space="preserve"> </w:t>
      </w:r>
      <w:r>
        <w:t xml:space="preserve">Elixhauser comorbidity index, thrombolytic drugs given, type of acute myocardial infarction (STEMI or NSTEMI)</w:t>
      </w:r>
    </w:p>
    <w:p>
      <w:pPr>
        <w:numPr>
          <w:ilvl w:val="1"/>
          <w:numId w:val="1007"/>
        </w:numPr>
      </w:pPr>
      <w:r>
        <w:rPr>
          <w:b/>
          <w:bCs/>
        </w:rPr>
        <w:t xml:space="preserve">Hospital-Level Factors:</w:t>
      </w:r>
      <w:r>
        <w:t xml:space="preserve"> </w:t>
      </w:r>
      <w:r>
        <w:t xml:space="preserve">Hospital region, bed size, and teaching status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Statistical Methods:</w:t>
      </w:r>
    </w:p>
    <w:p>
      <w:pPr>
        <w:numPr>
          <w:ilvl w:val="1"/>
          <w:numId w:val="1008"/>
        </w:numPr>
      </w:pPr>
      <w:r>
        <w:rPr>
          <w:b/>
          <w:bCs/>
        </w:rPr>
        <w:t xml:space="preserve">Univariable Analysis:</w:t>
      </w:r>
    </w:p>
    <w:p>
      <w:pPr>
        <w:numPr>
          <w:ilvl w:val="2"/>
          <w:numId w:val="1009"/>
        </w:numPr>
      </w:pPr>
      <w:r>
        <w:t xml:space="preserve">Categorical variables: Compared using Pearson’s chi-square test with Rao &amp; Scott adjustment</w:t>
      </w:r>
    </w:p>
    <w:p>
      <w:pPr>
        <w:numPr>
          <w:ilvl w:val="2"/>
          <w:numId w:val="1009"/>
        </w:numPr>
      </w:pPr>
      <w:r>
        <w:t xml:space="preserve">Continuous variables: Analyzed using the design-based Kruskal–Wallis test, a non-parametric alternative suitable for survey-weighted data</w:t>
      </w:r>
    </w:p>
    <w:p>
      <w:pPr>
        <w:numPr>
          <w:ilvl w:val="1"/>
          <w:numId w:val="1008"/>
        </w:numPr>
      </w:pPr>
      <w:r>
        <w:rPr>
          <w:b/>
          <w:bCs/>
        </w:rPr>
        <w:t xml:space="preserve">Multivariable Analysis:</w:t>
      </w:r>
    </w:p>
    <w:p>
      <w:pPr>
        <w:numPr>
          <w:ilvl w:val="2"/>
          <w:numId w:val="1010"/>
        </w:numPr>
      </w:pPr>
      <w:r>
        <w:t xml:space="preserve">Binary outcomes (e.g., mortality, mechanical ventilation, discharge): Survey-weighted logistic regression using the</w:t>
      </w:r>
      <w:r>
        <w:t xml:space="preserve"> </w:t>
      </w:r>
      <w:r>
        <w:rPr>
          <w:rStyle w:val="VerbatimChar"/>
        </w:rPr>
        <w:t xml:space="preserve">quasibinomial</w:t>
      </w:r>
      <w:r>
        <w:t xml:space="preserve"> </w:t>
      </w:r>
      <w:r>
        <w:t xml:space="preserve">family</w:t>
      </w:r>
    </w:p>
    <w:p>
      <w:pPr>
        <w:numPr>
          <w:ilvl w:val="2"/>
          <w:numId w:val="1010"/>
        </w:numPr>
      </w:pPr>
      <w:r>
        <w:t xml:space="preserve">Continuous outcomes (e.g., LOS, hospital charges): Survey-weighted linear regression using the</w:t>
      </w:r>
      <w:r>
        <w:t xml:space="preserve"> </w:t>
      </w:r>
      <w:r>
        <w:rPr>
          <w:rStyle w:val="VerbatimChar"/>
        </w:rPr>
        <w:t xml:space="preserve">gaussian</w:t>
      </w:r>
      <w:r>
        <w:t xml:space="preserve"> </w:t>
      </w:r>
      <w:r>
        <w:t xml:space="preserve">family</w:t>
      </w:r>
    </w:p>
    <w:p>
      <w:pPr>
        <w:numPr>
          <w:ilvl w:val="2"/>
          <w:numId w:val="1010"/>
        </w:numPr>
      </w:pPr>
      <w:r>
        <w:t xml:space="preserve">Results reported as adjusted odds ratios (aORs) or beta coefficients with 95% confidence intervals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All statistical analyses were performed using the R Statistical Language (Version 4.5.0; R Foundation for Statistical Computing, Vienna, Austria), incorporating survey-weighted procedures via the</w:t>
      </w:r>
      <w:r>
        <w:t xml:space="preserve"> </w:t>
      </w:r>
      <w:r>
        <w:rPr>
          <w:i/>
          <w:iCs/>
        </w:rPr>
        <w:t xml:space="preserve">survey</w:t>
      </w:r>
      <w:r>
        <w:t xml:space="preserve"> </w:t>
      </w:r>
      <w:r>
        <w:t xml:space="preserve">package to account for the complex sampling design of NIS.</w:t>
      </w:r>
    </w:p>
    <w:bookmarkEnd w:id="21"/>
    <w:bookmarkStart w:id="22" w:name="baseline-table"/>
    <w:p>
      <w:pPr>
        <w:pStyle w:val="Heading2"/>
      </w:pPr>
      <w:r>
        <w:t xml:space="preserve">Baseline table: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931,555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Monday-Friday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682,510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Saturday-Sunday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249,045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516,320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386,455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129,865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407,460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290,365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117,095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295,325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217,180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78,145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636,190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465,295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170,895 (69%)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680,940 (76%)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499,385 (76%)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181,555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24,615 (2.7%)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17,745 (2.7%)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6,870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85,035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62,095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22,940 (9.5%)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75,975 (8.4%)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55,395 (8.4%)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20,580 (8.5%)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5,645 (0.6%)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4,120 (0.6%)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1,525 (0.6%)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29,680 (3.3%)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21,785 (3.3%)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7,895 (3.3%)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43,115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31,300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11,815 (4.7%)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90,520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66,240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24,280 (9.8%)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461,095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341,490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119,605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charge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4,880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3,530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1,350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29,750 (3.2%)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21,750 (3.2%)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8,000 (3.2%)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289,865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209,405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80,460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Self-pay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53,900 (5.8%)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39,020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14,880 (6.0%)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267,095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196,015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71,080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254,820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186,905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67,915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221,215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161,940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59,275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172,265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125,860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46,405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222,020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162,815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59,205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149,765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111,280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38,485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382,755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279,415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103,340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177,015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129,000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48,015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490,420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359,695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130,725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279,625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204,890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74,735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161,510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117,925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43,585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58,985 (6.3%)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43,405 (6.4%)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15,580 (6.3%)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176,110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128,800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47,310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696,460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510,305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186,155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No. of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275,265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200,215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75,050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656,290 (70%)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482,295 (71%)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173,995 (70%)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Coronary angiography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858,075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627,835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230,240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(%); Mean (SD)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X^2: Rao &amp; Scott adjustment; Design-based KruskalWallis test</w:t>
            </w:r>
          </w:p>
        </w:tc>
      </w:tr>
    </w:tbl>
    <w:bookmarkEnd w:id="22"/>
    <w:bookmarkStart w:id="23" w:name="univariable-analysis"/>
    <w:p>
      <w:pPr>
        <w:pStyle w:val="Heading2"/>
      </w:pPr>
      <w:r>
        <w:t xml:space="preserve">Univariable analysis: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931,555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Monday-Friday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682,510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Saturday-Sunday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249,045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mortality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31,070 (3.3%)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22,645 (3.3%)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8,425 (3.4%)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stay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2.00 (2.00, 4.00)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2.00 (2.00, 4.00)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3.00 (2.00, 4.00)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Inflation-adjusted total charge ($)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90,547 (63,849, 137,272)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89,989 (63,417, 136,581)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92,098 (65,108, 139,061)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Mechanical ventilation 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54,255 (5.8%)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39,165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15,090 (6.1%)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Favorable discharge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824,155 (88%)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603,960 (88%)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220,195 (88%)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Cardiogenic Shock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67,915 (7.3%)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49,345 (7.2%)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18,570 (7.5%)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Cardaic arrest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30,940 (3.3%)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22,175 (3.2%)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8,765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kidney injury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146,410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106,775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39,635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GI hemorrhage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14,235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10,575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3,660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Stroke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Hemorrhagic stroke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1,170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840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330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Ischemic stroke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9,620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6,980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2,640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artery catheterization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7,380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5,450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1,930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Sepsis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15,170 (1.6%)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10,955 (1.6%)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4,215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Urinary tract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27,460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20,115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7,345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Undergoing CABG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10,990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7,980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3,010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Mechanical circulatory support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60,175 (6.5%)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44,245 (6.5%)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15,930 (6.4%)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Coronary artery dissection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9,020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6,615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2,405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Coronary artery perforation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2,330 (0.3%)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1,815 (0.3%)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515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Postprocedural complications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87,990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65,325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22,665 (9.1%)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Ventricular arrhythmia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109,660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78,345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31,315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Blood transfusion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28,865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21,205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7,660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Recurrent 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1,365 (0.1%)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1,005 (0.1%)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360 (0.1%)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Intra-aortic balloon pump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35,345 (3.8%)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25,525 (3.7%)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9,820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Hemodialysis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98,625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71,925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26,700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(%); Median (Q1, Q3)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X^2: Rao &amp; Scott adjustment; Design-based KruskalWallis test</w:t>
            </w:r>
          </w:p>
        </w:tc>
      </w:tr>
    </w:tbl>
    <w:bookmarkEnd w:id="23"/>
    <w:bookmarkStart w:id="45" w:name="multivariable-logistic-regression"/>
    <w:p>
      <w:pPr>
        <w:pStyle w:val="Heading2"/>
      </w:pPr>
      <w:r>
        <w:t xml:space="preserve">Multivariable logistic regression:</w:t>
      </w:r>
    </w:p>
    <w:bookmarkStart w:id="24" w:name="in-hospital-mortality"/>
    <w:p>
      <w:pPr>
        <w:pStyle w:val="Heading3"/>
      </w:pPr>
      <w:r>
        <w:t xml:space="preserve">In-hospital mortality: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4.62, 5.25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1.15, 1.57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1.13, 2.22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1.11, 1.48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1.15, 1.46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1.09, 1.50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1.23, 1.66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1.44, 1.48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4"/>
    <w:bookmarkStart w:id="25" w:name="mechanical-ventilation"/>
    <w:p>
      <w:pPr>
        <w:pStyle w:val="Heading3"/>
      </w:pPr>
      <w:r>
        <w:t xml:space="preserve">Mechanical ventilation: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4.41, 4.88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1.09, 1.20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1.33, 1.69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1.21, 1.53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1.22, 1.47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1.04, 1.34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1.12, 1.41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1.57, 1.60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5"/>
    <w:bookmarkStart w:id="26" w:name="favorable-discharge"/>
    <w:p>
      <w:pPr>
        <w:pStyle w:val="Heading3"/>
      </w:pPr>
      <w:r>
        <w:t xml:space="preserve">Favorable discharge: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0.40, 0.43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1.10, 1.30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1.35, 1.55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6"/>
    <w:bookmarkStart w:id="27" w:name="cardiogenic-shock"/>
    <w:p>
      <w:pPr>
        <w:pStyle w:val="Heading3"/>
      </w:pPr>
      <w:r>
        <w:t xml:space="preserve">Cardiogenic Shock: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5.94, 6.51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1.48, 1.83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1.16, 1.91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1.24, 1.51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1.24, 1.45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1.08, 1.35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1.22, 1.51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1.46, 1.49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7"/>
    <w:bookmarkStart w:id="28" w:name="cardiac-arrest"/>
    <w:p>
      <w:pPr>
        <w:pStyle w:val="Heading3"/>
      </w:pPr>
      <w:r>
        <w:t xml:space="preserve">Cardiac Arrest: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4.54, 5.15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1.13, 1.28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0.73, 0.90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0.61, 1.31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1.07, 1.35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1.11, 1.32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1.33, 1.36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8"/>
    <w:bookmarkStart w:id="29" w:name="acute-kidney-injury"/>
    <w:p>
      <w:pPr>
        <w:pStyle w:val="Heading3"/>
      </w:pPr>
      <w:r>
        <w:t xml:space="preserve">Acute Kidney Injury: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1.24, 1.31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1.37, 1.45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1.25, 1.48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1.44, 1.60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1.17, 1.32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1.12, 1.32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1.12, 1.27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1.21, 1.44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1.51, 1.54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9"/>
    <w:bookmarkStart w:id="30" w:name="gi-hemorrhage"/>
    <w:p>
      <w:pPr>
        <w:pStyle w:val="Heading3"/>
      </w:pPr>
      <w:r>
        <w:t xml:space="preserve">GI Hemorrhage: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1.51, 1.78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1.05, 1.65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1.06, 1.39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0.49, 1.59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0.62, 0.86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1.09, 1.67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1.37, 1.41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0"/>
    <w:bookmarkStart w:id="31" w:name="stroke"/>
    <w:p>
      <w:pPr>
        <w:pStyle w:val="Heading3"/>
      </w:pPr>
      <w:r>
        <w:t xml:space="preserve">Stroke: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1.35, 1.94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1.58, 1.91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1.16, 1.47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1.30, 1.79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1.22, 1.60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0.68, 0.92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0.50, 0.64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1.10, 1.47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1.28, 1.32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1"/>
    <w:bookmarkStart w:id="32" w:name="pulmonary-artery-catheterization"/>
    <w:p>
      <w:pPr>
        <w:pStyle w:val="Heading3"/>
      </w:pPr>
      <w:r>
        <w:t xml:space="preserve">Pulmonary artery catheterization: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2.86, 3.60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1.04, 1.32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1.34, 2.26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0.52, 2.16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1.51, 2.42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1.05, 1.47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0.58, 0.85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0.49, 0.77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0.48, 0.66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0.42, 0.63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1.57, 3.34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1.48, 1.55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2"/>
    <w:bookmarkStart w:id="33" w:name="sepsis"/>
    <w:p>
      <w:pPr>
        <w:pStyle w:val="Heading3"/>
      </w:pPr>
      <w:r>
        <w:t xml:space="preserve">Sepsis: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1.94, 2.29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1.32, 1.93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0.48, 1.38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1.41, 2.03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0.66, 0.88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1.04, 1.37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0.64, 0.83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1.28, 2.00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1.56, 1.60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3"/>
    <w:bookmarkStart w:id="34" w:name="urinary-tract-infection"/>
    <w:p>
      <w:pPr>
        <w:pStyle w:val="Heading3"/>
      </w:pPr>
      <w:r>
        <w:t xml:space="preserve">Urinary tract infection: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0.29, 0.33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1.13, 1.40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0.67, 0.94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0.59, 0.77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1.07, 1.26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1.25, 1.28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4"/>
    <w:bookmarkStart w:id="35" w:name="undergoing-cabg"/>
    <w:p>
      <w:pPr>
        <w:pStyle w:val="Heading3"/>
      </w:pPr>
      <w:r>
        <w:t xml:space="preserve">Undergoing CABG: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2.01, 2.41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1.46, 1.80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0.63, 0.88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0.74, 2.10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1.08, 1.51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0.58, 0.77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1.32, 2.32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1.25, 1.30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5"/>
    <w:bookmarkStart w:id="36" w:name="mechanical-circulatory-support"/>
    <w:p>
      <w:pPr>
        <w:pStyle w:val="Heading3"/>
      </w:pPr>
      <w:r>
        <w:t xml:space="preserve">Mechanical circulatory support: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2.99, 3.26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1.27, 1.39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1.50, 1.86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1.15, 1.34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1.25, 2.09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1.27, 1.59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1.19, 1.41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1.08, 1.28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1.06, 1.38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1.32, 1.68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1.39, 1.41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6"/>
    <w:bookmarkStart w:id="37" w:name="coronary-artery-dissection"/>
    <w:p>
      <w:pPr>
        <w:pStyle w:val="Heading3"/>
      </w:pPr>
      <w:r>
        <w:t xml:space="preserve">Coronary artery dissection: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0.39, 0.48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0.58, 1.86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1.08, 1.60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1.08, 1.54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1.17, 1.55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7"/>
    <w:bookmarkStart w:id="38" w:name="coronary-artery-perforation"/>
    <w:p>
      <w:pPr>
        <w:pStyle w:val="Heading3"/>
      </w:pPr>
      <w:r>
        <w:t xml:space="preserve">Coronary artery perforation: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0.60, 0.95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0.51, 0.75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0.57, 1.69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0.41, 0.93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0.38, 3.60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0.98, 2.11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0.78, 2.05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0.80, 2.54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0.72, 1.92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0.65, 1.20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1.12, 2.07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0.72, 2.23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0.93, 2.67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8"/>
    <w:bookmarkStart w:id="39" w:name="postprocedural-complications"/>
    <w:p>
      <w:pPr>
        <w:pStyle w:val="Heading3"/>
      </w:pPr>
      <w:r>
        <w:t xml:space="preserve">Postprocedural complications: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1.26, 1.81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1.42, 1.63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1.11, 1.27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1.08, 1.23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9"/>
    <w:bookmarkStart w:id="40" w:name="ventricular-arrhythmia"/>
    <w:p>
      <w:pPr>
        <w:pStyle w:val="Heading3"/>
      </w:pPr>
      <w:r>
        <w:t xml:space="preserve">Ventricular arrhythmia: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4.40, 4.71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1.56, 1.68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0.65, 0.80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0.66, 0.76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1.17, 1.33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1.10, 1.24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1.18, 1.32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1.33, 1.35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40"/>
    <w:bookmarkStart w:id="41" w:name="blood-transfusion"/>
    <w:p>
      <w:pPr>
        <w:pStyle w:val="Heading3"/>
      </w:pPr>
      <w:r>
        <w:t xml:space="preserve">Blood transfusion: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1.11, 1.27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1.63, 2.26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1.17, 1.45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1.51, 1.97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0.73, 1.55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1.54, 2.08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1.71, 2.51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0.69, 0.94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1.04, 1.34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1.47, 2.34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1.36, 1.41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41"/>
    <w:bookmarkStart w:id="42" w:name="recurrent-mi"/>
    <w:p>
      <w:pPr>
        <w:pStyle w:val="Heading3"/>
      </w:pPr>
      <w:r>
        <w:t xml:space="preserve">Recurrent MI: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1.18, 3.87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0.44, 1.18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0.76, 1.81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0.10, 4.86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0.79, 2.64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0.79, 2.21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0.56, 1.73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0.50, 1.81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0.67, 1.83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0.63, 1.27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0.69, 1.52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0.67, 2.09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0.54, 1.53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42"/>
    <w:bookmarkStart w:id="43" w:name="intra-aortic-balloon-pump"/>
    <w:p>
      <w:pPr>
        <w:pStyle w:val="Heading3"/>
      </w:pPr>
      <w:r>
        <w:t xml:space="preserve">Intra-aortic balloon pump: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3.88, 4.35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1.14, 1.27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1.57, 2.05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1.16, 1.40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1.21, 2.20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1.17, 1.54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1.31, 1.61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1.07, 1.28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1.32, 1.35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43"/>
    <w:bookmarkStart w:id="44" w:name="hemodialysis"/>
    <w:p>
      <w:pPr>
        <w:pStyle w:val="Heading3"/>
      </w:pPr>
      <w:r>
        <w:t xml:space="preserve">Hemodialysis: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2.67, 2.88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1.77, 2.14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1.34, 1.51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1.42, 1.60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1.21, 1.80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1.28, 1.54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1.22, 1.41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1.20, 1.36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1.07, 1.31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1.15, 1.39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1.54, 1.56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44"/>
    <w:bookmarkEnd w:id="45"/>
    <w:bookmarkStart w:id="48" w:name="multivariable-linear-regression"/>
    <w:p>
      <w:pPr>
        <w:pStyle w:val="Heading2"/>
      </w:pPr>
      <w:r>
        <w:t xml:space="preserve">Multivariable linear regression:</w:t>
      </w:r>
    </w:p>
    <w:bookmarkStart w:id="46" w:name="length-of-stay"/>
    <w:p>
      <w:pPr>
        <w:pStyle w:val="Heading3"/>
      </w:pPr>
      <w:r>
        <w:t xml:space="preserve">Length of Stay: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0.15, 0.24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0.30, 0.39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0.02, 0.02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-0.07, 0.01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0.43, 0.75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0.22, 0.40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0.29, 0.46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-0.02, 0.56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0.28, 0.59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0.14, 0.33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-0.44, -0.25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-0.33, -0.13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-0.40, -0.23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-0.11, 0.00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-0.11, 0.02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-0.10, 0.05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0.61, 0.81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0.06, 0.21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-0.37, -0.19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-0.38, -0.24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-0.58, -0.42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0.17, 0.41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0.51, 0.74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0.68, 0.72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bookmarkEnd w:id="46"/>
    <w:bookmarkStart w:id="47" w:name="inflation-adjusted-total-charge"/>
    <w:p>
      <w:pPr>
        <w:pStyle w:val="Heading3"/>
      </w:pPr>
      <w:r>
        <w:t xml:space="preserve">Inflation-adjusted total charge: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350, 2,681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STEMI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15,222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13,877, 16,567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79, 213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5,883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4,646, 7,120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19,935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13,801, 26,069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-1,330, 4,549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21,497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17,709, 25,284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Native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-7,585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-15,175, 4.3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21,330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15,473, 27,186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Thrombolytic drugs given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4,881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1,597, 8,164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-2,747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-5,503, 10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-2,501, 3,667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-3,131, 1,917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-1,049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-3,103, 1,004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-2,565, 2,522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4,478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945, 8,011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22,535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17,380, 27,691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22,302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18,973, 25,631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44,405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38,387, 50,422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-2,857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-7,063, 1,350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-6,440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-10,652, -2,228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20,832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15,406, 26,258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17,844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12,886, 22,801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14,935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14,258, 15,611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nature.com/articles/s41598-024-59571-w#Sec1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nature.com/articles/s41598-024-59571-w#Sec1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Impact of Weekend Admission on In-Hospital Outcomes in Patients with Acute Myocardial Infarction Undergoing Percutaneous Coronary Intervention</dc:title>
  <dc:creator>Eliza Aisha</dc:creator>
  <cp:keywords/>
  <dcterms:created xsi:type="dcterms:W3CDTF">2026-04-13T09:56:58Z</dcterms:created>
  <dcterms:modified xsi:type="dcterms:W3CDTF">2026-04-13T09:56:58Z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Analysis for RCOP 2025Apr-NIS-Cardio2</vt:lpwstr>
  </property>
  <property fmtid="{D5CDD505-2E9C-101B-9397-08002B2CF9AE}" pid="12" name="toc-title">
    <vt:lpwstr>Table of contents</vt:lpwstr>
  </property>
</Properties>
</file>