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Predictors of Palliative Care in Colorectal Cancer Patients: A National Inpatient Sample Analysis</w:t>
      </w:r>
    </w:p>
    <w:p>
      <w:pPr>
        <w:pStyle w:val="Subtitle"/>
      </w:pPr>
      <w:r>
        <w:t xml:space="preserve">Analysis for RCOP NIS-Apr-IM12</w:t>
      </w:r>
    </w:p>
    <w:p>
      <w:pPr>
        <w:pStyle w:val="Author"/>
      </w:pPr>
      <w:r>
        <w:t xml:space="preserve">Eliza Aisha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Papers: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Mojtahedi et al. 2021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</w:t>
      </w:r>
      <w:r>
        <w:t xml:space="preserve">: To characterize the demographic, clinical, and hospital-level factors associated with utilization of palliative care among patients with colorectal cancer.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</w:t>
      </w:r>
      <w:r>
        <w:t xml:space="preserve">: Cross-sectional analysis of the National Inpatient Sample (NIS) from 2018 to 2020. The NIS is part of the Healthcare Cost and Utilization Project (HCUP) and provides a stratified sample of inpatient discharges from U.S. community hospitals across all payers.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  <w:r>
        <w:t xml:space="preserve"> </w:t>
      </w:r>
      <w:r>
        <w:t xml:space="preserve">Patients were included if they met the following criteria</w:t>
      </w:r>
    </w:p>
    <w:p>
      <w:pPr>
        <w:numPr>
          <w:ilvl w:val="1"/>
          <w:numId w:val="1003"/>
        </w:numPr>
      </w:pPr>
      <w:r>
        <w:t xml:space="preserve">Age ≥18 years</w:t>
      </w:r>
    </w:p>
    <w:p>
      <w:pPr>
        <w:numPr>
          <w:ilvl w:val="1"/>
          <w:numId w:val="1003"/>
        </w:numPr>
      </w:pPr>
      <w:r>
        <w:t xml:space="preserve">Diagnosis of colorectal cancer</w:t>
      </w:r>
    </w:p>
    <w:p>
      <w:pPr>
        <w:numPr>
          <w:ilvl w:val="1"/>
          <w:numId w:val="1003"/>
        </w:numPr>
      </w:pPr>
      <w:r>
        <w:t xml:space="preserve">Non-missing data for palliative care consultation status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of Interest:</w:t>
      </w:r>
      <w:r>
        <w:t xml:space="preserve"> </w:t>
      </w:r>
      <w:r>
        <w:t xml:space="preserve">Receipt of palliative care consultation, defined by ICD-10-CM code Z51.5 (</w:t>
      </w:r>
      <w:r>
        <w:t xml:space="preserve">“Encounter for palliative care”</w:t>
      </w:r>
      <w:r>
        <w:t xml:space="preserve">) in any diagnosis field.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 for Adjustment:</w:t>
      </w:r>
      <w:r>
        <w:t xml:space="preserve"> </w:t>
      </w:r>
      <w:r>
        <w:t xml:space="preserve">All models adjusted for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Demographic Factors:</w:t>
      </w:r>
      <w:r>
        <w:t xml:space="preserve"> </w:t>
      </w:r>
      <w:r>
        <w:t xml:space="preserve">Age, sex, race/ethnicity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Socioeconomic Factors:</w:t>
      </w:r>
      <w:r>
        <w:t xml:space="preserve"> </w:t>
      </w:r>
      <w:r>
        <w:t xml:space="preserve">Primary payer, ZIP code–level income quartile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Clinical Factors:</w:t>
      </w:r>
      <w:r>
        <w:t xml:space="preserve"> </w:t>
      </w:r>
      <w:r>
        <w:t xml:space="preserve">Elixhauser comorbidity index (aggregate score), APR-DRG risk of mortality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Hospital-Level Factors:</w:t>
      </w:r>
      <w:r>
        <w:t xml:space="preserve"> </w:t>
      </w:r>
      <w:r>
        <w:t xml:space="preserve">Hospital region, bed size, teaching status, and urban/rural location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Descriptive Analysis:</w:t>
      </w:r>
    </w:p>
    <w:p>
      <w:pPr>
        <w:numPr>
          <w:ilvl w:val="2"/>
          <w:numId w:val="1006"/>
        </w:numPr>
      </w:pPr>
      <w:r>
        <w:t xml:space="preserve">Patient and hospital characteristics were compared between those who did and did not receive palliative care consultation.</w:t>
      </w:r>
    </w:p>
    <w:p>
      <w:pPr>
        <w:numPr>
          <w:ilvl w:val="2"/>
          <w:numId w:val="1006"/>
        </w:numPr>
      </w:pPr>
      <w:r>
        <w:t xml:space="preserve">Categorical variables: Compared using Pearson’s chi-square test with Rao &amp; Scott adjustment</w:t>
      </w:r>
    </w:p>
    <w:p>
      <w:pPr>
        <w:numPr>
          <w:ilvl w:val="2"/>
          <w:numId w:val="1006"/>
        </w:numPr>
      </w:pPr>
      <w:r>
        <w:t xml:space="preserve">Continuous variables: Analyzed using the design-based Kruskal–Wallis test, a non-parametric alternative suitable for survey-weighted data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Multivariable Analysis:</w:t>
      </w:r>
    </w:p>
    <w:p>
      <w:pPr>
        <w:numPr>
          <w:ilvl w:val="2"/>
          <w:numId w:val="1007"/>
        </w:numPr>
      </w:pPr>
      <w:r>
        <w:t xml:space="preserve">Predictors of palliative care consultation were assessed using survey-weighted logistic regression with the</w:t>
      </w:r>
      <w:r>
        <w:t xml:space="preserve"> </w:t>
      </w:r>
      <w:r>
        <w:rPr>
          <w:rStyle w:val="VerbatimChar"/>
        </w:rPr>
        <w:t xml:space="preserve">quasibinomial</w:t>
      </w:r>
      <w:r>
        <w:t xml:space="preserve"> </w:t>
      </w:r>
      <w:r>
        <w:t xml:space="preserve">family.</w:t>
      </w:r>
    </w:p>
    <w:p>
      <w:pPr>
        <w:numPr>
          <w:ilvl w:val="2"/>
          <w:numId w:val="1007"/>
        </w:numPr>
      </w:pPr>
      <w:r>
        <w:t xml:space="preserve">Results were reported as adjusted odds ratios (aORs) with 95% confidence intervals.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statistical analyses were performed using the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21"/>
    <w:bookmarkStart w:id="22" w:name="baseline-table"/>
    <w:p>
      <w:pPr>
        <w:pStyle w:val="Heading2"/>
      </w:pPr>
      <w:r>
        <w:t xml:space="preserve">Baseline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746,240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670,335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75,905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345,695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309,240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36,455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400,525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361,075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39,450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510,820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461,270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49,550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26,235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23,400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2,835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96,695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84,530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12,165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70,965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63,510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7,455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4,000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3,605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395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20,590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18,470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2,120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238,460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219,145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19,315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83,535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74,065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9,470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405,680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361,900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43,780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17,770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14,535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3,235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206,025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184,950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21,075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195,345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176,135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19,210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175,985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157,810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18,175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156,545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140,400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16,145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163,740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147,075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16,665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139,250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124,305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14,945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296,070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267,000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29,070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147,180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131,955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15,225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392,670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352,635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40,035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209,890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188,545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21,345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143,680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129,155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14,525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60,345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55,610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4,735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126,950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114,910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12,040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558,945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499,815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59,130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APR-DRG risk of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89,180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64,660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24,520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Major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244,620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207,010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37,610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138,105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137,375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730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274,330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261,290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13,040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 specified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of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695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690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530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510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745,015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669,135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75,880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 (SD);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Design-based KruskalWallis test; Pearson's X^2: Rao &amp; Scott adjustment</w:t>
            </w:r>
          </w:p>
        </w:tc>
      </w:tr>
    </w:tbl>
    <w:bookmarkEnd w:id="22"/>
    <w:bookmarkStart w:id="24" w:name="multivariable-logistic-regression"/>
    <w:p>
      <w:pPr>
        <w:pStyle w:val="Heading2"/>
      </w:pPr>
      <w:r>
        <w:t xml:space="preserve">Multivariable logistic regression:</w:t>
      </w:r>
    </w:p>
    <w:bookmarkStart w:id="23" w:name="palliative-care-consultation"/>
    <w:p>
      <w:pPr>
        <w:pStyle w:val="Heading3"/>
      </w:pPr>
      <w:r>
        <w:t xml:space="preserve">Palliative care consultation: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1.97, 2.48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APR-DRG risk of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Major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0.01, 0.02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0.13, 0.14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 specified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3,886, 196,787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mc.ncbi.nlm.nih.gov/articles/PMC8496534/#s00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mc.ncbi.nlm.nih.gov/articles/PMC8496534/#s00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Predictors of Palliative Care in Colorectal Cancer Patients: A National Inpatient Sample Analysis</dc:title>
  <dc:creator>Eliza Aisha</dc:creator>
  <cp:keywords/>
  <dcterms:created xsi:type="dcterms:W3CDTF">2025-05-30T09:36:00Z</dcterms:created>
  <dcterms:modified xsi:type="dcterms:W3CDTF">2025-05-30T09:36:00Z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Analysis for RCOP NIS-Apr-IM12</vt:lpwstr>
  </property>
  <property fmtid="{D5CDD505-2E9C-101B-9397-08002B2CF9AE}" pid="12" name="toc-title">
    <vt:lpwstr>Table of contents</vt:lpwstr>
  </property>
</Properties>
</file>