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Association of Malignancy With Vascular Outcomes in Atrial Fibrillation: A National Inpatient Sample Analysis</w:t>
      </w:r>
    </w:p>
    <w:p>
      <w:pPr>
        <w:pStyle w:val="Subtitle"/>
      </w:pPr>
      <w:r>
        <w:t xml:space="preserve">Analysis for RCOP 2025-NIS-13-Internal Medicine</w:t>
      </w:r>
    </w:p>
    <w:p>
      <w:pPr>
        <w:pStyle w:val="Author"/>
      </w:pPr>
      <w:r>
        <w:t xml:space="preserve">Eliza 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Elbadawi et al. 2017</w:t>
        </w:r>
      </w:hyperlink>
    </w:p>
    <w:p>
      <w:pPr>
        <w:pStyle w:val="Compact"/>
        <w:numPr>
          <w:ilvl w:val="1"/>
          <w:numId w:val="1002"/>
        </w:numPr>
      </w:pPr>
      <w:hyperlink r:id="rId21">
        <w:r>
          <w:rPr>
            <w:rStyle w:val="Hyperlink"/>
          </w:rPr>
          <w:t xml:space="preserve">El-Rayes et al. 2025</w:t>
        </w:r>
      </w:hyperlink>
    </w:p>
    <w:bookmarkEnd w:id="22"/>
    <w:bookmarkStart w:id="23" w:name="preamble-1"/>
    <w:p>
      <w:pPr>
        <w:pStyle w:val="Heading2"/>
      </w:pPr>
      <w:r>
        <w:t xml:space="preserve">Preamble:</w:t>
      </w:r>
    </w:p>
    <w:p>
      <w:pPr>
        <w:numPr>
          <w:ilvl w:val="0"/>
          <w:numId w:val="1003"/>
        </w:numPr>
      </w:pPr>
      <w:r>
        <w:rPr>
          <w:b/>
          <w:bCs/>
        </w:rPr>
        <w:t xml:space="preserve">Study Objective</w:t>
      </w:r>
      <w:r>
        <w:t xml:space="preserve">: To examine the impact of malignancy on outcomes among admissions with atrial fibrillation.</w:t>
      </w:r>
    </w:p>
    <w:p>
      <w:pPr>
        <w:numPr>
          <w:ilvl w:val="0"/>
          <w:numId w:val="1003"/>
        </w:numPr>
      </w:pPr>
      <w:r>
        <w:rPr>
          <w:b/>
          <w:bCs/>
        </w:rPr>
        <w:t xml:space="preserve">Data Source</w:t>
      </w:r>
      <w:r>
        <w:t xml:space="preser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3"/>
        </w:numPr>
      </w:pPr>
      <w:r>
        <w:rPr>
          <w:b/>
          <w:bCs/>
        </w:rPr>
        <w:t xml:space="preserve">Cohort Definition:</w:t>
      </w:r>
      <w:r>
        <w:t xml:space="preserve"> </w:t>
      </w:r>
      <w:r>
        <w:t xml:space="preserve">Patients were included if they met the following criteria</w:t>
      </w:r>
    </w:p>
    <w:p>
      <w:pPr>
        <w:numPr>
          <w:ilvl w:val="1"/>
          <w:numId w:val="1004"/>
        </w:numPr>
      </w:pPr>
      <w:r>
        <w:t xml:space="preserve">Age ≥18 years</w:t>
      </w:r>
    </w:p>
    <w:p>
      <w:pPr>
        <w:numPr>
          <w:ilvl w:val="1"/>
          <w:numId w:val="1004"/>
        </w:numPr>
      </w:pPr>
      <w:r>
        <w:t xml:space="preserve">Had a diagnosis of atrial fibrillation and cancer</w:t>
      </w:r>
    </w:p>
    <w:p>
      <w:pPr>
        <w:numPr>
          <w:ilvl w:val="1"/>
          <w:numId w:val="1004"/>
        </w:numPr>
      </w:pPr>
      <w:r>
        <w:t xml:space="preserve">Patients undergoing catheter ablation were excluded</w:t>
      </w:r>
    </w:p>
    <w:p>
      <w:pPr>
        <w:numPr>
          <w:ilvl w:val="0"/>
          <w:numId w:val="1003"/>
        </w:numPr>
      </w:pPr>
      <w:r>
        <w:rPr>
          <w:b/>
          <w:bCs/>
        </w:rPr>
        <w:t xml:space="preserve">Primary Outcomes</w:t>
      </w:r>
      <w:r>
        <w:t xml:space="preserve">:</w:t>
      </w:r>
    </w:p>
    <w:p>
      <w:pPr>
        <w:numPr>
          <w:ilvl w:val="1"/>
          <w:numId w:val="1005"/>
        </w:numPr>
      </w:pPr>
      <w:r>
        <w:t xml:space="preserve">Acute ischemic stroke</w:t>
      </w:r>
    </w:p>
    <w:p>
      <w:pPr>
        <w:numPr>
          <w:ilvl w:val="1"/>
          <w:numId w:val="1005"/>
        </w:numPr>
      </w:pPr>
      <w:r>
        <w:t xml:space="preserve">Venous thromboembolism</w:t>
      </w:r>
    </w:p>
    <w:p>
      <w:pPr>
        <w:numPr>
          <w:ilvl w:val="1"/>
          <w:numId w:val="1005"/>
        </w:numPr>
      </w:pPr>
      <w:r>
        <w:t xml:space="preserve">Major bleeding</w:t>
      </w:r>
    </w:p>
    <w:p>
      <w:pPr>
        <w:numPr>
          <w:ilvl w:val="0"/>
          <w:numId w:val="1003"/>
        </w:numPr>
      </w:pPr>
      <w:r>
        <w:rPr>
          <w:b/>
          <w:bCs/>
        </w:rPr>
        <w:t xml:space="preserve">Secondary Outcomes</w:t>
      </w:r>
      <w:r>
        <w:t xml:space="preserve">:</w:t>
      </w:r>
    </w:p>
    <w:p>
      <w:pPr>
        <w:numPr>
          <w:ilvl w:val="1"/>
          <w:numId w:val="1006"/>
        </w:numPr>
      </w:pPr>
      <w:r>
        <w:t xml:space="preserve">In-hospital all-cause mortality</w:t>
      </w:r>
    </w:p>
    <w:p>
      <w:pPr>
        <w:numPr>
          <w:ilvl w:val="1"/>
          <w:numId w:val="1006"/>
        </w:numPr>
      </w:pPr>
      <w:r>
        <w:t xml:space="preserve">Total hospital length of stay (days)</w:t>
      </w:r>
    </w:p>
    <w:p>
      <w:pPr>
        <w:numPr>
          <w:ilvl w:val="1"/>
          <w:numId w:val="1006"/>
        </w:numPr>
      </w:pPr>
      <w:r>
        <w:t xml:space="preserve">Total charge, inflation adjusted to 2020 ($)</w:t>
      </w:r>
    </w:p>
    <w:p>
      <w:pPr>
        <w:numPr>
          <w:ilvl w:val="0"/>
          <w:numId w:val="1003"/>
        </w:numPr>
      </w:pPr>
      <w:r>
        <w:rPr>
          <w:b/>
          <w:bCs/>
        </w:rPr>
        <w:t xml:space="preserve">Covariates for Adjustment:</w:t>
      </w:r>
      <w:r>
        <w:t xml:space="preserve"> </w:t>
      </w:r>
      <w:r>
        <w:t xml:space="preserve">All models adjusted for the following</w:t>
      </w:r>
    </w:p>
    <w:p>
      <w:pPr>
        <w:numPr>
          <w:ilvl w:val="1"/>
          <w:numId w:val="1007"/>
        </w:numPr>
      </w:pPr>
      <w:r>
        <w:t xml:space="preserve">Demographics: Age, sex, race, income, insurance, location of patient’s residence, hospital region, hospital bedsize, hospital location, and teaching status.</w:t>
      </w:r>
    </w:p>
    <w:p>
      <w:pPr>
        <w:numPr>
          <w:ilvl w:val="1"/>
          <w:numId w:val="1007"/>
        </w:numPr>
      </w:pPr>
      <w:r>
        <w:t xml:space="preserve">Medical History: Hypertension, diabetes mellitus, obesity, hyperlipidemia, coronary artery disease, peripheral vascular disease, heart failure, dementia, chronic kidney disease, chronic pulmonary disease, obstructive sleep apnea, liver disease, valvular heart disease, valvular heart disease, alcohol abuse, smoker, prior stroke, prior cardiac surgery, and type of cancer.</w:t>
      </w:r>
    </w:p>
    <w:p>
      <w:pPr>
        <w:numPr>
          <w:ilvl w:val="1"/>
          <w:numId w:val="1007"/>
        </w:numPr>
      </w:pPr>
      <w:r>
        <w:t xml:space="preserve">Comorbidities: Elixhauser comorbidity index.</w:t>
      </w:r>
    </w:p>
    <w:p>
      <w:pPr>
        <w:numPr>
          <w:ilvl w:val="0"/>
          <w:numId w:val="1003"/>
        </w:numPr>
      </w:pPr>
      <w:r>
        <w:rPr>
          <w:b/>
          <w:bCs/>
        </w:rPr>
        <w:t xml:space="preserve">Statistical Methods:</w:t>
      </w:r>
    </w:p>
    <w:p>
      <w:pPr>
        <w:numPr>
          <w:ilvl w:val="1"/>
          <w:numId w:val="1008"/>
        </w:numPr>
      </w:pPr>
      <w:r>
        <w:rPr>
          <w:b/>
          <w:bCs/>
        </w:rPr>
        <w:t xml:space="preserve">Univariable Analysis:</w:t>
      </w:r>
    </w:p>
    <w:p>
      <w:pPr>
        <w:numPr>
          <w:ilvl w:val="2"/>
          <w:numId w:val="1009"/>
        </w:numPr>
      </w:pPr>
      <w:r>
        <w:t xml:space="preserve">Categorical variables: Compared using Pearson’s chi-square test with Rao &amp; Scott adjustment</w:t>
      </w:r>
    </w:p>
    <w:p>
      <w:pPr>
        <w:numPr>
          <w:ilvl w:val="2"/>
          <w:numId w:val="1009"/>
        </w:numPr>
      </w:pPr>
      <w:r>
        <w:t xml:space="preserve">Continuous variables: Analyzed using the design-based Kruskal–Wallis test, a non-parametric alternative suitable for survey-weighted data</w:t>
      </w:r>
    </w:p>
    <w:p>
      <w:pPr>
        <w:numPr>
          <w:ilvl w:val="1"/>
          <w:numId w:val="1008"/>
        </w:numPr>
      </w:pPr>
      <w:r>
        <w:rPr>
          <w:b/>
          <w:bCs/>
        </w:rPr>
        <w:t xml:space="preserve">Multivariable Analysis:</w:t>
      </w:r>
    </w:p>
    <w:p>
      <w:pPr>
        <w:numPr>
          <w:ilvl w:val="2"/>
          <w:numId w:val="1010"/>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10"/>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0"/>
        </w:numPr>
      </w:pPr>
      <w:r>
        <w:t xml:space="preserve">Results reported as adjusted odds ratios (aORs) or beta coefficients with 95% confidence intervals</w:t>
      </w:r>
    </w:p>
    <w:p>
      <w:pPr>
        <w:numPr>
          <w:ilvl w:val="0"/>
          <w:numId w:val="1003"/>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3"/>
    <w:bookmarkStart w:id="24"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8,689,195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without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7,852,590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836,605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4,086,450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3,757,835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328,615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4,602,580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4,094,605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507,975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6,908,785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6,223,915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684,870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169,230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152,270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764,920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700,605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64,315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467,070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32,760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30,135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158,235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143,255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2,227,640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2,037,580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2,320,125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2,103,625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216,500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2,164,955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1,951,180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213,775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1,853,715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1,648,755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204,960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1,074,980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970,775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399,055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370,675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28,380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7,049,660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6,362,460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687,200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142,320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2,238,361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2,015,161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223,200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1,616,830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1,450,135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3,307,330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3,012,750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294,580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1,526,675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1,374,545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152,130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2,145,785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1,932,385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213,400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2,270,556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2,042,696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227,860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1,880,905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1,704,160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876,865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795,200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81,665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864,770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787,265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77,505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628,655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570,605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58,050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7,500,190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6,826,235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673,955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3,367,605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3,090,275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277,330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4,926,950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4,497,325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429,625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3,724,325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3,422,270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302,055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1,404,890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1,287,620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117,270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4,980,685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4,583,820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396,865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3,273,720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2,990,655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283,065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2,979,005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2,688,725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290,280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2,003,830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1,856,330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501,590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445,405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1,306,110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1,203,445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102,665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685,910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608,040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77,870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2,588,676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2,341,806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246,870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1,798,950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1,677,525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121,425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1,452,515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1,349,980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1,243,925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1,152,450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42,095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without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7,852,590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836,605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319,815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61,825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216,550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59,825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709,350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75,977 (116,316)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92,804 (144,045)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29"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major-bleeding"/>
    <w:p>
      <w:pPr>
        <w:pStyle w:val="Heading3"/>
      </w:pPr>
      <w:r>
        <w:t xml:space="preserve">Major bleeding:</w:t>
      </w:r>
    </w:p>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 -875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11,664, 12,662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17,214, 24,898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-1,342, 1,405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16,015, 20,762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-11,564, -3,403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17,084, 25,329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15,093, 16,153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-778, 1,237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-10,479, -6,701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-2,955,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-3,885, 979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10,960, 17,369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8,693, 12,781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31,550, 39,735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-11,246, -6,212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-16,280, -10,741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-23,022, -17,804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-23,513, -18,794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-24,005, -19,238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-20,359, -18,397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-13,887, -12,379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-4,367, -3,237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10,469, 11,692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-10,049, -8,379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-12,404, -10,950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-18,302, -16,799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-20,909, -18,965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281, 2,107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1,151, 4,028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 -6,898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-17,491, -15,553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-21,312, -16,232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-12,642, -10,792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-9,203, -8,141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-21,172, -19,556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-9,397, -4,221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29352566/" TargetMode="External" /><Relationship Type="http://schemas.openxmlformats.org/officeDocument/2006/relationships/hyperlink" Id="rId21" Target="https://www.jacc.org/doi/10.1016/j.jaccao.2024.10.014"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29352566/" TargetMode="External" /><Relationship Type="http://schemas.openxmlformats.org/officeDocument/2006/relationships/hyperlink" Id="rId21" Target="https://www.jacc.org/doi/10.1016/j.jaccao.2024.10.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of Malignancy With Vascular Outcomes in Atrial Fibrillation: A National Inpatient Sample Analysis</dc:title>
  <dc:creator>Eliza Aisha</dc:creator>
  <cp:keywords/>
  <dcterms:created xsi:type="dcterms:W3CDTF">2025-06-03T01:06:24Z</dcterms:created>
  <dcterms:modified xsi:type="dcterms:W3CDTF">2025-06-03T01:06:24Z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2025-NIS-13-Internal Medicine</vt:lpwstr>
  </property>
  <property fmtid="{D5CDD505-2E9C-101B-9397-08002B2CF9AE}" pid="12" name="toc-title">
    <vt:lpwstr>Table of contents</vt:lpwstr>
  </property>
</Properties>
</file>