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Characteristics and Outcomes of Patients with Inflammatory Bowel Disease and Acute Myocardial Infarction</w:t>
      </w:r>
    </w:p>
    <w:p>
      <w:pPr>
        <w:pStyle w:val="Author"/>
      </w:pPr>
      <w:r>
        <w:t xml:space="preserve">Eliza Aisha</w:t>
      </w:r>
    </w:p>
    <w:p>
      <w:pPr>
        <w:pStyle w:val="Author"/>
      </w:pPr>
      <w:r>
        <w:t xml:space="preserve">Mariam Shahabi</w:t>
      </w:r>
    </w:p>
    <w:bookmarkStart w:id="20" w:name="preamble"/>
    <w:p>
      <w:pPr>
        <w:pStyle w:val="Heading2"/>
      </w:pPr>
      <w:r>
        <w:t xml:space="preserve">Preamble:</w:t>
      </w:r>
    </w:p>
    <w:p>
      <w:pPr>
        <w:numPr>
          <w:ilvl w:val="0"/>
          <w:numId w:val="1001"/>
        </w:numPr>
      </w:pPr>
      <w:r>
        <w:rPr>
          <w:b/>
          <w:bCs/>
        </w:rPr>
        <w:t xml:space="preserve">Study Objective</w:t>
      </w:r>
      <w:r>
        <w:t xml:space="preserve">: Examine the impact of irritable bowel disease on outcomes among inpatient admissions with acute myocardial infarction.</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acute myocardial infarction.</w:t>
      </w:r>
    </w:p>
    <w:p>
      <w:pPr>
        <w:numPr>
          <w:ilvl w:val="0"/>
          <w:numId w:val="1001"/>
        </w:numPr>
      </w:pPr>
      <w:r>
        <w:rPr>
          <w:b/>
          <w:bCs/>
        </w:rPr>
        <w:t xml:space="preserve">Primary Outcomes</w:t>
      </w:r>
      <w:r>
        <w:t xml:space="preserve">:</w:t>
      </w:r>
    </w:p>
    <w:p>
      <w:pPr>
        <w:numPr>
          <w:ilvl w:val="1"/>
          <w:numId w:val="1002"/>
        </w:numPr>
      </w:pPr>
      <w:r>
        <w:t xml:space="preserve">In-hospital all-cause mortality</w:t>
      </w:r>
    </w:p>
    <w:p>
      <w:pPr>
        <w:numPr>
          <w:ilvl w:val="1"/>
          <w:numId w:val="1002"/>
        </w:numPr>
      </w:pPr>
      <w:r>
        <w:t xml:space="preserve">Total hospital length of stay (days)</w:t>
      </w:r>
    </w:p>
    <w:p>
      <w:pPr>
        <w:numPr>
          <w:ilvl w:val="1"/>
          <w:numId w:val="1002"/>
        </w:numPr>
      </w:pPr>
      <w:r>
        <w:t xml:space="preserve">Total charge, inflation adjusted to 2020 ($)</w:t>
      </w:r>
    </w:p>
    <w:p>
      <w:pPr>
        <w:numPr>
          <w:ilvl w:val="0"/>
          <w:numId w:val="1001"/>
        </w:numPr>
      </w:pPr>
      <w:r>
        <w:rPr>
          <w:b/>
          <w:bCs/>
        </w:rPr>
        <w:t xml:space="preserve">Secondary Outcomes</w:t>
      </w:r>
      <w:r>
        <w:t xml:space="preserve">:</w:t>
      </w:r>
    </w:p>
    <w:p>
      <w:pPr>
        <w:numPr>
          <w:ilvl w:val="1"/>
          <w:numId w:val="1003"/>
        </w:numPr>
      </w:pPr>
      <w:r>
        <w:t xml:space="preserve">Stroke</w:t>
      </w:r>
    </w:p>
    <w:p>
      <w:pPr>
        <w:numPr>
          <w:ilvl w:val="1"/>
          <w:numId w:val="1003"/>
        </w:numPr>
      </w:pPr>
      <w:r>
        <w:t xml:space="preserve">Cardiogenic Shock</w:t>
      </w:r>
    </w:p>
    <w:p>
      <w:pPr>
        <w:numPr>
          <w:ilvl w:val="1"/>
          <w:numId w:val="1003"/>
        </w:numPr>
      </w:pPr>
      <w:r>
        <w:t xml:space="preserve">Cardiac Arrest</w:t>
      </w:r>
    </w:p>
    <w:p>
      <w:pPr>
        <w:numPr>
          <w:ilvl w:val="1"/>
          <w:numId w:val="1003"/>
        </w:numPr>
      </w:pPr>
      <w:r>
        <w:t xml:space="preserve">Utilization of Percutaneous Coronary Intervention</w:t>
      </w:r>
    </w:p>
    <w:p>
      <w:pPr>
        <w:numPr>
          <w:ilvl w:val="1"/>
          <w:numId w:val="1003"/>
        </w:numPr>
      </w:pPr>
      <w:r>
        <w:t xml:space="preserve">Utilization of Coronary Artery Bypass Grafting</w:t>
      </w:r>
    </w:p>
    <w:p>
      <w:pPr>
        <w:numPr>
          <w:ilvl w:val="0"/>
          <w:numId w:val="1001"/>
        </w:numPr>
      </w:pPr>
      <w:r>
        <w:rPr>
          <w:b/>
          <w:bCs/>
        </w:rPr>
        <w:t xml:space="preserve">Covariates for Adjustment:</w:t>
      </w:r>
      <w:r>
        <w:t xml:space="preserve"> </w:t>
      </w:r>
      <w:r>
        <w:t xml:space="preserve">All models adjusted for the following</w:t>
      </w:r>
    </w:p>
    <w:p>
      <w:pPr>
        <w:numPr>
          <w:ilvl w:val="1"/>
          <w:numId w:val="1004"/>
        </w:numPr>
      </w:pPr>
      <w:r>
        <w:t xml:space="preserve">Demographics: Age, sex, race, income, insurance, urbanicity, hospital region, hospital bedsize, hospital location, and teaching status.</w:t>
      </w:r>
    </w:p>
    <w:p>
      <w:pPr>
        <w:numPr>
          <w:ilvl w:val="1"/>
          <w:numId w:val="1004"/>
        </w:numPr>
      </w:pPr>
      <w:r>
        <w:t xml:space="preserve">Medical History: Hypertension, diabetes mellitus, obesity, hyperlipidemia, coronary artery disease, peripheral vascular disease, heart failure, dementia, cancer, chronic kidney disease, chronic pulmonary disease, obstructive sleep apnea, dementia, liver disease, valvular heart disease, prior stroke, prior cardiac surgery, presence of pacemaker/defibrillator.</w:t>
      </w:r>
    </w:p>
    <w:p>
      <w:pPr>
        <w:numPr>
          <w:ilvl w:val="1"/>
          <w:numId w:val="1004"/>
        </w:numPr>
      </w:pPr>
      <w:r>
        <w:t xml:space="preserve">Comorbidities: Elixhauser comorbidity index.</w:t>
      </w:r>
    </w:p>
    <w:p>
      <w:pPr>
        <w:numPr>
          <w:ilvl w:val="0"/>
          <w:numId w:val="1001"/>
        </w:numPr>
      </w:pPr>
      <w:r>
        <w:rPr>
          <w:b/>
          <w:bCs/>
        </w:rPr>
        <w:t xml:space="preserve">Statistical Methods:</w:t>
      </w:r>
    </w:p>
    <w:p>
      <w:pPr>
        <w:numPr>
          <w:ilvl w:val="1"/>
          <w:numId w:val="1005"/>
        </w:numPr>
      </w:pPr>
      <w:r>
        <w:rPr>
          <w:b/>
          <w:bCs/>
        </w:rPr>
        <w:t xml:space="preserve">Univariable Analysis:</w:t>
      </w:r>
    </w:p>
    <w:p>
      <w:pPr>
        <w:numPr>
          <w:ilvl w:val="2"/>
          <w:numId w:val="1006"/>
        </w:numPr>
      </w:pPr>
      <w:r>
        <w:t xml:space="preserve">Categorical variables: Compared using Pearson’s chi-square test with Rao &amp; Scott adjustment</w:t>
      </w:r>
    </w:p>
    <w:p>
      <w:pPr>
        <w:numPr>
          <w:ilvl w:val="2"/>
          <w:numId w:val="1006"/>
        </w:numPr>
      </w:pPr>
      <w:r>
        <w:t xml:space="preserve">Continuous variables: Analyzed using the design-based Kruskal–Wallis test, a non-parametric alternative suitable for survey-weighted data</w:t>
      </w:r>
    </w:p>
    <w:p>
      <w:pPr>
        <w:numPr>
          <w:ilvl w:val="1"/>
          <w:numId w:val="1005"/>
        </w:numPr>
      </w:pPr>
      <w:r>
        <w:rPr>
          <w:b/>
          <w:bCs/>
        </w:rPr>
        <w:t xml:space="preserve">Multivariable Analysis:</w:t>
      </w:r>
    </w:p>
    <w:p>
      <w:pPr>
        <w:numPr>
          <w:ilvl w:val="2"/>
          <w:numId w:val="1007"/>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07"/>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07"/>
        </w:numPr>
      </w:pPr>
      <w:r>
        <w:t xml:space="preserve">Results reported as adjusted odds ratios (aORs) or beta coefficients with 95% confidence intervals</w:t>
      </w:r>
    </w:p>
    <w:p>
      <w:pPr>
        <w:numPr>
          <w:ilvl w:val="0"/>
          <w:numId w:val="1001"/>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0"/>
    <w:bookmarkStart w:id="21"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1,894,085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without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1,875,545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702,140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692,995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1,191,870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1,182,475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1,344,575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1,330,130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210,180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208,730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165,055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163,755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55,695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571,020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565,780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515,845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510,705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435,120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430,760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338,635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335,100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484,045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480,080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180,510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1,068,990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1,057,085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156,140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155,070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466,490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462,070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446,975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442,245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388,475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384,785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196,985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194,995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217,925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215,830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169,695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168,120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423,035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418,545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321,125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317,885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785,310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778,055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364,615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361,060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953,740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944,765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574,055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568,435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366,290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362,345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143,990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142,545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371,570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368,060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1,378,525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1,364,940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13,585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 (2.34)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1,555,075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1,540,105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14,970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461,125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404,375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401,070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780,790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773,700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7,090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410,205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405,410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78,835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77,610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97,575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96,580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211,320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1,298,925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1,286,920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822,745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814,700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8,045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164,185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162,615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273,900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379,505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376,030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186,595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330,160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327,100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182,995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181,390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without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1,875,545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AMI with IBD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18,540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 total charges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72,376 (40,701, 126,172)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67,643 (36,502, 122,312)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124,780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60,205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Utilization of percutaneous coronary intervention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924,255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Utilization of coronary artery bypass grafting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167,340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Start w:id="29" w:name="multivariable-logistic-regression"/>
    <w:p>
      <w:pPr>
        <w:pStyle w:val="Heading2"/>
      </w:pPr>
      <w:r>
        <w:t xml:space="preserve">Multivariable Logistic Regression:</w:t>
      </w:r>
    </w:p>
    <w:bookmarkStart w:id="23"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3"/>
    <w:bookmarkStart w:id="24"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cardiac-arrest"/>
    <w:p>
      <w:pPr>
        <w:pStyle w:val="Heading3"/>
      </w:pPr>
      <w:r>
        <w:t xml:space="preserve">Cardiac Arrest: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stroke"/>
    <w:p>
      <w:pPr>
        <w:pStyle w:val="Heading3"/>
      </w:pPr>
      <w:r>
        <w:t xml:space="preserve">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Start w:id="27" w:name="Xa81117ad33ec6ad6e82efff2f6b4a0933c4bf76"/>
    <w:p>
      <w:pPr>
        <w:pStyle w:val="Heading3"/>
      </w:pPr>
      <w:r>
        <w:t xml:space="preserve">Utilization of percutaneous coronary intervention: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7"/>
    <w:bookmarkStart w:id="28" w:name="X026c8764e6b47eba649d22385afc2caddfd16d6"/>
    <w:p>
      <w:pPr>
        <w:pStyle w:val="Heading3"/>
      </w:pPr>
      <w:r>
        <w:t xml:space="preserve">Utilization of coronary artery bypass grafting: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1.96, 2.95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3.61, 5.25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without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AMI with IBD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-12,819, -2,802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17,959, 19,946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8,752, 19,981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-16,677, -12,117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7,534, 14,592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-15,933, -2,496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12,480, 23,231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-2,223, 1,554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-4,697,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-4,352, 1,932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-8,549, -4,135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-3,348, 6.8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Level of urbanization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Central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Fringe metro ≥1 million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-11,016, -3,163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250,000-999,999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-15,022, -5,563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 50,000-249,999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-24,863, -16,356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Micropolitan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-17,487, -9,300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-21,955, -12,952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10,643, 19,960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15,979, 22,335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26,188, 36,256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-17,274, -9,371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-30,447, -22,827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25,254, 35,292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39,955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35,527, 44,382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16,633, 18,707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-19,573, -15,911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-21,354, -17,577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-12,792, -9,513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-7,832, -5,015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-19,594, -16,144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-34,441, -31,058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46,700, 57,004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-15,779, -11,568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-1,665, 981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7,343, 10,527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-22,160, -15,821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-11,619, -8,539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-17,065, -12,884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-10,859, -8,232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-11,445, -8,816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-14,876, -12,494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-29,002, -26,151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Characteristics and Outcomes of Patients with Inflammatory Bowel Disease and Acute Myocardial Infarction</dc:title>
  <dc:creator>Eliza Aisha; Mariam Shahabi</dc:creator>
  <cp:keywords/>
  <dcterms:created xsi:type="dcterms:W3CDTF">2025-05-27T12:51:10Z</dcterms:created>
  <dcterms:modified xsi:type="dcterms:W3CDTF">2025-05-27T12:51:10Z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