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Prevalence, Causes, and Predictors of 30-Day Readmissions Following Hospitalization With Acute Myocardial Infarction Complicated By Cardiogenic Shock</w:t>
      </w:r>
    </w:p>
    <w:p>
      <w:pPr>
        <w:pStyle w:val="Subtitle"/>
      </w:pPr>
      <w:r>
        <w:t xml:space="preserve">2025_June_NRD_A1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Jawad Ahmed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Mahmoud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hospitalized with acute myocardial infarction complicated by cardiogenic shock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≤18 years</w:t>
      </w:r>
    </w:p>
    <w:p>
      <w:pPr>
        <w:numPr>
          <w:ilvl w:val="1"/>
          <w:numId w:val="1003"/>
        </w:numPr>
      </w:pPr>
      <w:r>
        <w:t xml:space="preserve">Principal diagnosis of acute myocardial infarction using ICD code I21 and secondary diagnosis of cardiogenic shock using ICD code R570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1"/>
          <w:numId w:val="1003"/>
        </w:numPr>
      </w:pPr>
      <w:r>
        <w:t xml:space="preserve">Trauma-related hospitalizations were excluded only from the readmission pool to avoid injury-related returns unrelated to MI care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Top causes of 30-day readmission</w:t>
      </w:r>
    </w:p>
    <w:p>
      <w:pPr>
        <w:numPr>
          <w:ilvl w:val="1"/>
          <w:numId w:val="1004"/>
        </w:numPr>
      </w:pPr>
      <w:r>
        <w:t xml:space="preserve">Mortality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5"/>
        </w:numPr>
      </w:pPr>
      <w:r>
        <w:t xml:space="preserve">Demographic &amp; Socioeconomic Factors:</w:t>
      </w:r>
    </w:p>
    <w:p>
      <w:pPr>
        <w:numPr>
          <w:ilvl w:val="2"/>
          <w:numId w:val="1006"/>
        </w:numPr>
      </w:pPr>
      <w:r>
        <w:t xml:space="preserve">Age</w:t>
      </w:r>
    </w:p>
    <w:p>
      <w:pPr>
        <w:numPr>
          <w:ilvl w:val="2"/>
          <w:numId w:val="1006"/>
        </w:numPr>
      </w:pPr>
      <w:r>
        <w:t xml:space="preserve">Sex</w:t>
      </w:r>
    </w:p>
    <w:p>
      <w:pPr>
        <w:numPr>
          <w:ilvl w:val="2"/>
          <w:numId w:val="100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06"/>
        </w:numPr>
      </w:pPr>
      <w:r>
        <w:t xml:space="preserve">ZIP-based median income quartile</w:t>
      </w:r>
    </w:p>
    <w:p>
      <w:pPr>
        <w:numPr>
          <w:ilvl w:val="1"/>
          <w:numId w:val="1005"/>
        </w:numPr>
      </w:pPr>
      <w:r>
        <w:t xml:space="preserve">Clinical Characteristics:</w:t>
      </w:r>
    </w:p>
    <w:p>
      <w:pPr>
        <w:pStyle w:val="Compact"/>
        <w:numPr>
          <w:ilvl w:val="2"/>
          <w:numId w:val="1007"/>
        </w:numPr>
      </w:pPr>
      <w:r>
        <w:t xml:space="preserve">Number of comorbidities</w:t>
      </w:r>
    </w:p>
    <w:p>
      <w:pPr>
        <w:numPr>
          <w:ilvl w:val="1"/>
          <w:numId w:val="1005"/>
        </w:numPr>
      </w:pPr>
      <w:r>
        <w:t xml:space="preserve">Hospital Characteristics:</w:t>
      </w:r>
    </w:p>
    <w:p>
      <w:pPr>
        <w:numPr>
          <w:ilvl w:val="2"/>
          <w:numId w:val="1008"/>
        </w:numPr>
      </w:pPr>
      <w:r>
        <w:t xml:space="preserve">Hospital bed size (Small, Medium, Large)</w:t>
      </w:r>
    </w:p>
    <w:p>
      <w:pPr>
        <w:numPr>
          <w:ilvl w:val="2"/>
          <w:numId w:val="100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05"/>
        </w:numPr>
      </w:pPr>
      <w:r>
        <w:t xml:space="preserve">Disposition and Severity:</w:t>
      </w:r>
    </w:p>
    <w:p>
      <w:pPr>
        <w:pStyle w:val="Compact"/>
        <w:numPr>
          <w:ilvl w:val="2"/>
          <w:numId w:val="1009"/>
        </w:numPr>
      </w:pPr>
      <w:r>
        <w:t xml:space="preserve">Discharge disposition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1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0"/>
        </w:numPr>
      </w:pPr>
      <w:r>
        <w:t xml:space="preserve">Descriptive Statistics:</w:t>
      </w:r>
    </w:p>
    <w:p>
      <w:pPr>
        <w:numPr>
          <w:ilvl w:val="2"/>
          <w:numId w:val="1012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2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3"/>
        </w:numPr>
      </w:pPr>
      <w:r>
        <w:t xml:space="preserve">With 30-day readmission</w:t>
      </w:r>
    </w:p>
    <w:p>
      <w:pPr>
        <w:numPr>
          <w:ilvl w:val="3"/>
          <w:numId w:val="1013"/>
        </w:numPr>
      </w:pPr>
      <w:r>
        <w:t xml:space="preserve">Without readmission</w:t>
      </w:r>
    </w:p>
    <w:p>
      <w:pPr>
        <w:numPr>
          <w:ilvl w:val="2"/>
          <w:numId w:val="1012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0"/>
        </w:numPr>
      </w:pPr>
      <w:r>
        <w:t xml:space="preserve">Multivariable Regression:</w:t>
      </w:r>
    </w:p>
    <w:p>
      <w:pPr>
        <w:numPr>
          <w:ilvl w:val="2"/>
          <w:numId w:val="1014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4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4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5"/>
        </w:numPr>
      </w:pPr>
      <w:r>
        <w:t xml:space="preserve">Readmission (n): 8144</w:t>
      </w:r>
    </w:p>
    <w:p>
      <w:pPr>
        <w:numPr>
          <w:ilvl w:val="0"/>
          <w:numId w:val="1015"/>
        </w:numPr>
      </w:pPr>
      <w:r>
        <w:t xml:space="preserve">Readmission Rate (%): 12.04%</w:t>
      </w:r>
    </w:p>
    <w:p>
      <w:pPr>
        <w:numPr>
          <w:ilvl w:val="0"/>
          <w:numId w:val="1015"/>
        </w:numPr>
      </w:pPr>
      <w:r>
        <w:t xml:space="preserve">Readmission Rate (95% CI): 11.66% to 12.43%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6"/>
        </w:numPr>
      </w:pPr>
      <w:r>
        <w:t xml:space="preserve">Deaths (n): 23560</w:t>
      </w:r>
    </w:p>
    <w:p>
      <w:pPr>
        <w:numPr>
          <w:ilvl w:val="0"/>
          <w:numId w:val="1016"/>
        </w:numPr>
      </w:pPr>
      <w:r>
        <w:t xml:space="preserve">Death Rate (%): 34.85%</w:t>
      </w:r>
    </w:p>
    <w:p>
      <w:pPr>
        <w:numPr>
          <w:ilvl w:val="0"/>
          <w:numId w:val="1016"/>
        </w:numPr>
      </w:pPr>
      <w:r>
        <w:t xml:space="preserve">Death Rate (95% CI): 34.16% to 35.55%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17"/>
        </w:numPr>
      </w:pPr>
      <w:r>
        <w:t xml:space="preserve">Deaths (n): 654</w:t>
      </w:r>
    </w:p>
    <w:p>
      <w:pPr>
        <w:numPr>
          <w:ilvl w:val="0"/>
          <w:numId w:val="1017"/>
        </w:numPr>
      </w:pPr>
      <w:r>
        <w:t xml:space="preserve">Death Rate (%): 8.04%</w:t>
      </w:r>
    </w:p>
    <w:p>
      <w:pPr>
        <w:numPr>
          <w:ilvl w:val="0"/>
          <w:numId w:val="1017"/>
        </w:numPr>
      </w:pPr>
      <w:r>
        <w:t xml:space="preserve">Death Rate (95% CI): 7.14% to 8.94%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8"/>
        </w:numPr>
      </w:pPr>
      <w:r>
        <w:t xml:space="preserve">Mean Length of Stay (days): 9.34</w:t>
      </w:r>
    </w:p>
    <w:p>
      <w:pPr>
        <w:numPr>
          <w:ilvl w:val="0"/>
          <w:numId w:val="1018"/>
        </w:numPr>
      </w:pPr>
      <w:r>
        <w:t xml:space="preserve">Mean Length of Stay (95% CI): 9.13 to 9.55</w:t>
      </w:r>
    </w:p>
    <w:p>
      <w:pPr>
        <w:numPr>
          <w:ilvl w:val="0"/>
          <w:numId w:val="1018"/>
        </w:numPr>
      </w:pPr>
      <w:r>
        <w:t xml:space="preserve">Mean Charge ($): 221712</w:t>
      </w:r>
    </w:p>
    <w:p>
      <w:pPr>
        <w:numPr>
          <w:ilvl w:val="0"/>
          <w:numId w:val="1018"/>
        </w:numPr>
      </w:pPr>
      <w:r>
        <w:t xml:space="preserve">Mean Charge (95% CI): 213800 to 229624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19"/>
        </w:numPr>
      </w:pPr>
      <w:r>
        <w:t xml:space="preserve">Mean Length of Stay (days): 6.73</w:t>
      </w:r>
    </w:p>
    <w:p>
      <w:pPr>
        <w:numPr>
          <w:ilvl w:val="0"/>
          <w:numId w:val="1019"/>
        </w:numPr>
      </w:pPr>
      <w:r>
        <w:t xml:space="preserve">Mean Length of Stay (95% CI): 6.47 to 7</w:t>
      </w:r>
    </w:p>
    <w:p>
      <w:pPr>
        <w:numPr>
          <w:ilvl w:val="0"/>
          <w:numId w:val="1019"/>
        </w:numPr>
      </w:pPr>
      <w:r>
        <w:t xml:space="preserve">Mean Charge ($): 84515</w:t>
      </w:r>
    </w:p>
    <w:p>
      <w:pPr>
        <w:numPr>
          <w:ilvl w:val="0"/>
          <w:numId w:val="1019"/>
        </w:numPr>
      </w:pPr>
      <w:r>
        <w:t xml:space="preserve">Mean Charge (95% CI): 78498 to 90533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67,625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59,481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8,144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43,713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38,540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5,173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23,912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20,940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17,322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19,281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11,422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10,078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38,246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5,353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17,170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14,823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13,136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49,406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43,299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6,107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14,174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12,672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4,819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42,779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37,484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7,021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436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60,168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52,460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7,708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34,029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22,167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19,121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3,046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38,348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33,397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4,951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20,257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17,319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40,792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34,892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4,360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13,856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15,544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13,288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Rheumatic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11,151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33,864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11,449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2"/>
        <w:gridCol w:w="5535"/>
        <w:gridCol w:w="10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I13</w:t>
            </w:r>
          </w:p>
        </w:tc>
        <w:tc>
          <w:tcPr/>
          <w:p>
            <w:pPr>
              <w:pStyle w:val="Compact"/>
            </w:pPr>
            <w:r>
              <w:t xml:space="preserve">Hypertensive heart and chronic kidney disease</w:t>
            </w:r>
          </w:p>
        </w:tc>
        <w:tc>
          <w:tcPr/>
          <w:p>
            <w:pPr>
              <w:pStyle w:val="Compact"/>
            </w:pPr>
            <w:r>
              <w:t xml:space="preserve">0.0945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0.0795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I11</w:t>
            </w:r>
          </w:p>
        </w:tc>
        <w:tc>
          <w:tcPr/>
          <w:p>
            <w:pPr>
              <w:pStyle w:val="Compact"/>
            </w:pPr>
            <w:r>
              <w:t xml:space="preserve">Hypertensive heart disease</w:t>
            </w:r>
          </w:p>
        </w:tc>
        <w:tc>
          <w:tcPr/>
          <w:p>
            <w:pPr>
              <w:pStyle w:val="Compact"/>
            </w:pPr>
            <w:r>
              <w:t xml:space="preserve">0.0790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0.0745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Acute myocardial infarction</w:t>
            </w:r>
          </w:p>
        </w:tc>
        <w:tc>
          <w:tcPr/>
          <w:p>
            <w:pPr>
              <w:pStyle w:val="Compact"/>
            </w:pPr>
            <w:r>
              <w:t xml:space="preserve">0.0664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Chronic ischemic heart disease</w:t>
            </w:r>
          </w:p>
        </w:tc>
        <w:tc>
          <w:tcPr/>
          <w:p>
            <w:pPr>
              <w:pStyle w:val="Compact"/>
            </w:pPr>
            <w:r>
              <w:t xml:space="preserve">0.0448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K92</w:t>
            </w:r>
          </w:p>
        </w:tc>
        <w:tc>
          <w:tcPr/>
          <w:p>
            <w:pPr>
              <w:pStyle w:val="Compact"/>
            </w:pPr>
            <w:r>
              <w:t xml:space="preserve">Other diseases of digestive system</w:t>
            </w:r>
          </w:p>
        </w:tc>
        <w:tc>
          <w:tcPr/>
          <w:p>
            <w:pPr>
              <w:pStyle w:val="Compact"/>
            </w:pPr>
            <w:r>
              <w:t xml:space="preserve">0.0308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T82</w:t>
            </w:r>
          </w:p>
        </w:tc>
        <w:tc>
          <w:tcPr/>
          <w:p>
            <w:pPr>
              <w:pStyle w:val="Compact"/>
            </w:pPr>
            <w:r>
              <w:t xml:space="preserve">Complications of cardiac and vascular prosthetic devices, implants and grafts</w:t>
            </w:r>
          </w:p>
        </w:tc>
        <w:tc>
          <w:tcPr/>
          <w:p>
            <w:pPr>
              <w:pStyle w:val="Compact"/>
            </w:pPr>
            <w:r>
              <w:t xml:space="preserve">0.0265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I95</w:t>
            </w:r>
          </w:p>
        </w:tc>
        <w:tc>
          <w:tcPr/>
          <w:p>
            <w:pPr>
              <w:pStyle w:val="Compact"/>
            </w:pPr>
            <w:r>
              <w:t xml:space="preserve">Hypotension</w:t>
            </w:r>
          </w:p>
        </w:tc>
        <w:tc>
          <w:tcPr/>
          <w:p>
            <w:pPr>
              <w:pStyle w:val="Compact"/>
            </w:pPr>
            <w:r>
              <w:t xml:space="preserve">0.0236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J18</w:t>
            </w:r>
          </w:p>
        </w:tc>
        <w:tc>
          <w:tcPr/>
          <w:p>
            <w:pPr>
              <w:pStyle w:val="Compact"/>
            </w:pPr>
            <w:r>
              <w:t xml:space="preserve">Pneumonia, unspecified organism</w:t>
            </w:r>
          </w:p>
        </w:tc>
        <w:tc>
          <w:tcPr/>
          <w:p>
            <w:pPr>
              <w:pStyle w:val="Compact"/>
            </w:pPr>
            <w:r>
              <w:t xml:space="preserve">0.0215</w:t>
            </w:r>
          </w:p>
        </w:tc>
      </w:tr>
    </w:tbl>
    <w:bookmarkEnd w:id="27"/>
    <w:bookmarkStart w:id="29" w:name="multivariable-analyses"/>
    <w:p>
      <w:pPr>
        <w:pStyle w:val="Heading2"/>
      </w:pPr>
      <w:r>
        <w:t xml:space="preserve">Multivariable Analyses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AWEEKEND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Rheumatic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17.0082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17.008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Prevalence, Causes, and Predictors of 30-Day Readmissions Following Hospitalization With Acute Myocardial Infarction Complicated By Cardiogenic Shock</dc:title>
  <dc:creator>Eliza Aisha; Jawad Ahmed</dc:creator>
  <cp:keywords/>
  <dcterms:created xsi:type="dcterms:W3CDTF">2025-07-25T18:31:13Z</dcterms:created>
  <dcterms:modified xsi:type="dcterms:W3CDTF">2025-07-25T18:31:13Z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</vt:lpwstr>
  </property>
  <property fmtid="{D5CDD505-2E9C-101B-9397-08002B2CF9AE}" pid="12" name="toc-title">
    <vt:lpwstr>Table of contents</vt:lpwstr>
  </property>
</Properties>
</file>