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Prevalence, Causes, and Predictors of 30-Day Readmissions Following Hospitalization With Acute Myocardial Infarction Complicated By Cardiogenic Shock</w:t>
      </w:r>
    </w:p>
    <w:p>
      <w:pPr>
        <w:pStyle w:val="Subtitle"/>
      </w:pPr>
      <w:r>
        <w:t xml:space="preserve">2025_June_NRD_A23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Jawad Ahmed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Mahmoud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patients hospitalized with acute myocardial infarction complicated by cardiogenic shock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Patients aged ≤18 years</w:t>
      </w:r>
    </w:p>
    <w:p>
      <w:pPr>
        <w:numPr>
          <w:ilvl w:val="1"/>
          <w:numId w:val="1003"/>
        </w:numPr>
      </w:pPr>
      <w:r>
        <w:t xml:space="preserve">Principal diagnosis of acute myocardial infarction using ICD code I21 and secondary diagnosis of cardiogenic shock using ICD code R570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pStyle w:val="Compact"/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09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0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1"/>
        </w:numPr>
      </w:pPr>
      <w:r>
        <w:t xml:space="preserve">Demographic &amp; Socioeconomic Factors:</w:t>
      </w:r>
    </w:p>
    <w:p>
      <w:pPr>
        <w:numPr>
          <w:ilvl w:val="2"/>
          <w:numId w:val="1012"/>
        </w:numPr>
      </w:pPr>
      <w:r>
        <w:t xml:space="preserve">Age</w:t>
      </w:r>
    </w:p>
    <w:p>
      <w:pPr>
        <w:numPr>
          <w:ilvl w:val="2"/>
          <w:numId w:val="1012"/>
        </w:numPr>
      </w:pPr>
      <w:r>
        <w:t xml:space="preserve">Sex</w:t>
      </w:r>
    </w:p>
    <w:p>
      <w:pPr>
        <w:numPr>
          <w:ilvl w:val="2"/>
          <w:numId w:val="1012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2"/>
        </w:numPr>
      </w:pPr>
      <w:r>
        <w:t xml:space="preserve">ZIP-based median income quartile</w:t>
      </w:r>
    </w:p>
    <w:p>
      <w:pPr>
        <w:numPr>
          <w:ilvl w:val="1"/>
          <w:numId w:val="1011"/>
        </w:numPr>
      </w:pPr>
      <w:r>
        <w:t xml:space="preserve">Clinical Characteristics:</w:t>
      </w:r>
    </w:p>
    <w:p>
      <w:pPr>
        <w:pStyle w:val="Compact"/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1"/>
          <w:numId w:val="1011"/>
        </w:numPr>
      </w:pPr>
      <w:r>
        <w:t xml:space="preserve">Hospital Characteristics:</w:t>
      </w:r>
    </w:p>
    <w:p>
      <w:pPr>
        <w:numPr>
          <w:ilvl w:val="2"/>
          <w:numId w:val="1014"/>
        </w:numPr>
      </w:pPr>
      <w:r>
        <w:t xml:space="preserve">Hospital bed size (Small, Medium, Large)</w:t>
      </w:r>
    </w:p>
    <w:p>
      <w:pPr>
        <w:numPr>
          <w:ilvl w:val="2"/>
          <w:numId w:val="1014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1"/>
        </w:numPr>
      </w:pPr>
      <w:r>
        <w:t xml:space="preserve">Disposition and Severity:</w:t>
      </w:r>
    </w:p>
    <w:p>
      <w:pPr>
        <w:numPr>
          <w:ilvl w:val="2"/>
          <w:numId w:val="1015"/>
        </w:numPr>
      </w:pPr>
      <w:r>
        <w:t xml:space="preserve">Discharge disposition</w:t>
      </w:r>
    </w:p>
    <w:p>
      <w:pPr>
        <w:numPr>
          <w:ilvl w:val="2"/>
          <w:numId w:val="1015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6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7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6"/>
        </w:numPr>
      </w:pPr>
      <w:r>
        <w:t xml:space="preserve">Descriptive Statistics:</w:t>
      </w:r>
    </w:p>
    <w:p>
      <w:pPr>
        <w:numPr>
          <w:ilvl w:val="2"/>
          <w:numId w:val="1018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8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9"/>
        </w:numPr>
      </w:pPr>
      <w:r>
        <w:t xml:space="preserve">With 30-day readmission</w:t>
      </w:r>
    </w:p>
    <w:p>
      <w:pPr>
        <w:numPr>
          <w:ilvl w:val="3"/>
          <w:numId w:val="1019"/>
        </w:numPr>
      </w:pPr>
      <w:r>
        <w:t xml:space="preserve">Without readmission</w:t>
      </w:r>
    </w:p>
    <w:p>
      <w:pPr>
        <w:numPr>
          <w:ilvl w:val="2"/>
          <w:numId w:val="1018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6"/>
        </w:numPr>
      </w:pPr>
      <w:r>
        <w:t xml:space="preserve">Multivariable Regression:</w:t>
      </w:r>
    </w:p>
    <w:p>
      <w:pPr>
        <w:numPr>
          <w:ilvl w:val="2"/>
          <w:numId w:val="1020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0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0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bookmarkEnd w:id="22"/>
    <w:bookmarkStart w:id="23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22,779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1,596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6,590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9,391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8,890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4,899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14,712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14,039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8,067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7,636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6,597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5,444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3,818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14,531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13,848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682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5,963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11,973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11,346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1,008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9,662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16,918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16,110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1,143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4,896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1,963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1,868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14,287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13,531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756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20,377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19,326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1,051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10,015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7,335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6,940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12,917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12,251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6,373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18,131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17,178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953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9,549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13,759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12,970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AIDS/HIV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1,741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1,612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5,066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Rheumatic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3,643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13,024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12,384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Peptic ulcer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1,946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4,648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4,441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3"/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22,779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7,789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7,789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149,614 (80,930, 278,080)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147,394 (79,607, 273,624)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198,365 (110,143, 370,149)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12,816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12,355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Undergoing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4,057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Undergoing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12,898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12,241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10,380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9,966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Venous thromboembolism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962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1,374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1,314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AcuteKidneyInjury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11,528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10,962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27" w:name="X7d0a1c2a05e84965e19936ca624ae03f9f9afcd"/>
    <w:p>
      <w:pPr>
        <w:pStyle w:val="Heading2"/>
      </w:pPr>
      <w:r>
        <w:t xml:space="preserve">Readmission Hospitalization Characteristics</w:t>
      </w:r>
    </w:p>
    <w:bookmarkStart w:id="26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1"/>
        </w:numPr>
      </w:pPr>
      <w:r>
        <w:t xml:space="preserve">Median Length of Stay (IQR), days: 4 (IQR: 2–8)</w:t>
      </w:r>
    </w:p>
    <w:p>
      <w:pPr>
        <w:numPr>
          <w:ilvl w:val="0"/>
          <w:numId w:val="1021"/>
        </w:numPr>
      </w:pPr>
      <w:r>
        <w:t xml:space="preserve">Median Total Charges (IQR): $40,339 (IQR: $19,984–$88,325)</w:t>
      </w:r>
    </w:p>
    <w:bookmarkEnd w:id="26"/>
    <w:bookmarkEnd w:id="27"/>
    <w:bookmarkStart w:id="29" w:name="multivariable-analyses"/>
    <w:p>
      <w:pPr>
        <w:pStyle w:val="Heading2"/>
      </w:pPr>
      <w:r>
        <w:t xml:space="preserve">Multivariable Analyses</w:t>
      </w:r>
    </w:p>
    <w:bookmarkStart w:id="28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AIDS/HIV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Rheumatic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Peptic ulcer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JAHA.117.0082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JAHA.117.0082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Prevalence, Causes, and Predictors of 30-Day Readmissions Following Hospitalization With Acute Myocardial Infarction Complicated By Cardiogenic Shock</dc:title>
  <dc:creator>Eliza Aisha; Jawad Ahmed</dc:creator>
  <cp:keywords/>
  <dcterms:created xsi:type="dcterms:W3CDTF">2025-07-22T10:58:09Z</dcterms:created>
  <dcterms:modified xsi:type="dcterms:W3CDTF">2025-07-22T10:58:09Z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2025_June_NRD_A23</vt:lpwstr>
  </property>
  <property fmtid="{D5CDD505-2E9C-101B-9397-08002B2CF9AE}" pid="12" name="toc-title">
    <vt:lpwstr>Table of contents</vt:lpwstr>
  </property>
</Properties>
</file>