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Hypoglycemia on 30-Day Readmission and Survival Outcomes in Patients with Type 2 Diabetes Mellitus</w:t>
      </w:r>
    </w:p>
    <w:p>
      <w:pPr>
        <w:pStyle w:val="Subtitle"/>
      </w:pPr>
      <w:r>
        <w:t xml:space="preserve">2025_June_NRD_A12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T2DM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2"/>
        </w:numPr>
      </w:pPr>
      <w:r>
        <w:t xml:space="preserve">Adults aged ≥18 years</w:t>
      </w:r>
    </w:p>
    <w:p>
      <w:pPr>
        <w:numPr>
          <w:ilvl w:val="1"/>
          <w:numId w:val="1002"/>
        </w:numPr>
      </w:pPr>
      <w:r>
        <w:t xml:space="preserve">Principal diagnosis of T2DM, with or without hypoglycemia, identified using ICD-10-CM code: E1164</w:t>
      </w:r>
    </w:p>
    <w:p>
      <w:pPr>
        <w:numPr>
          <w:ilvl w:val="1"/>
          <w:numId w:val="1002"/>
        </w:numPr>
      </w:pPr>
      <w:r>
        <w:t xml:space="preserve">Non-elective admission</w:t>
      </w:r>
    </w:p>
    <w:p>
      <w:pPr>
        <w:numPr>
          <w:ilvl w:val="1"/>
          <w:numId w:val="1002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2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Primary Outcome:</w:t>
      </w:r>
    </w:p>
    <w:p>
      <w:pPr>
        <w:pStyle w:val="Compact"/>
        <w:numPr>
          <w:ilvl w:val="2"/>
          <w:numId w:val="1004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3"/>
        </w:numPr>
      </w:pPr>
      <w:r>
        <w:t xml:space="preserve">Secondary Outcomes (index admission):</w:t>
      </w:r>
    </w:p>
    <w:p>
      <w:pPr>
        <w:numPr>
          <w:ilvl w:val="2"/>
          <w:numId w:val="1005"/>
        </w:numPr>
      </w:pPr>
      <w:r>
        <w:t xml:space="preserve">In-hospital mortality (DIED)</w:t>
      </w:r>
    </w:p>
    <w:p>
      <w:pPr>
        <w:numPr>
          <w:ilvl w:val="2"/>
          <w:numId w:val="1005"/>
        </w:numPr>
      </w:pPr>
      <w:r>
        <w:t xml:space="preserve">Length of stay (LOS, in days)</w:t>
      </w:r>
    </w:p>
    <w:p>
      <w:pPr>
        <w:numPr>
          <w:ilvl w:val="2"/>
          <w:numId w:val="1005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5"/>
        </w:numPr>
      </w:pPr>
      <w:r>
        <w:t xml:space="preserve">Non-home discharge</w:t>
      </w:r>
    </w:p>
    <w:p>
      <w:pPr>
        <w:numPr>
          <w:ilvl w:val="1"/>
          <w:numId w:val="1003"/>
        </w:numPr>
      </w:pPr>
      <w:r>
        <w:t xml:space="preserve">Readmission Characteristics:</w:t>
      </w:r>
    </w:p>
    <w:p>
      <w:pPr>
        <w:numPr>
          <w:ilvl w:val="2"/>
          <w:numId w:val="1006"/>
        </w:numPr>
      </w:pPr>
      <w:r>
        <w:t xml:space="preserve">In-hospital mortality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7"/>
        </w:numPr>
      </w:pPr>
      <w:r>
        <w:t xml:space="preserve">Non-Home Discharge:</w:t>
      </w:r>
    </w:p>
    <w:p>
      <w:pPr>
        <w:numPr>
          <w:ilvl w:val="2"/>
          <w:numId w:val="1012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3"/>
        </w:numPr>
      </w:pPr>
      <w:r>
        <w:t xml:space="preserve">Transfer to another short-term hospital</w:t>
      </w:r>
    </w:p>
    <w:p>
      <w:pPr>
        <w:numPr>
          <w:ilvl w:val="3"/>
          <w:numId w:val="1013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3"/>
        </w:numPr>
      </w:pPr>
      <w:r>
        <w:t xml:space="preserve">Left against medical advice</w:t>
      </w:r>
    </w:p>
    <w:p>
      <w:pPr>
        <w:numPr>
          <w:ilvl w:val="3"/>
          <w:numId w:val="1013"/>
        </w:numPr>
      </w:pPr>
      <w:r>
        <w:t xml:space="preserve">Died in hospital</w:t>
      </w:r>
    </w:p>
    <w:p>
      <w:pPr>
        <w:numPr>
          <w:ilvl w:val="3"/>
          <w:numId w:val="1013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4"/>
        </w:numPr>
      </w:pPr>
      <w:r>
        <w:t xml:space="preserve">Demographic &amp; Socioeconomic Factors:</w:t>
      </w:r>
    </w:p>
    <w:p>
      <w:pPr>
        <w:numPr>
          <w:ilvl w:val="2"/>
          <w:numId w:val="1015"/>
        </w:numPr>
      </w:pPr>
      <w:r>
        <w:t xml:space="preserve">Age (continuous)</w:t>
      </w:r>
    </w:p>
    <w:p>
      <w:pPr>
        <w:numPr>
          <w:ilvl w:val="2"/>
          <w:numId w:val="1015"/>
        </w:numPr>
      </w:pPr>
      <w:r>
        <w:t xml:space="preserve">Sex (FEMALE; ref = Male)</w:t>
      </w:r>
    </w:p>
    <w:p>
      <w:pPr>
        <w:numPr>
          <w:ilvl w:val="2"/>
          <w:numId w:val="1015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5"/>
        </w:numPr>
      </w:pPr>
      <w:r>
        <w:t xml:space="preserve">Income quartile based on ZIP code (ZIPINC_QRTL)</w:t>
      </w:r>
    </w:p>
    <w:p>
      <w:pPr>
        <w:numPr>
          <w:ilvl w:val="2"/>
          <w:numId w:val="1015"/>
        </w:numPr>
      </w:pPr>
      <w:r>
        <w:t xml:space="preserve">Weekend admission (AWEEKEND)</w:t>
      </w:r>
    </w:p>
    <w:p>
      <w:pPr>
        <w:numPr>
          <w:ilvl w:val="1"/>
          <w:numId w:val="1014"/>
        </w:numPr>
      </w:pPr>
      <w:r>
        <w:t xml:space="preserve">Comorbidities and Clinical Covariates: (from Elixhauser and Charlson flags)</w:t>
      </w:r>
    </w:p>
    <w:p>
      <w:pPr>
        <w:numPr>
          <w:ilvl w:val="2"/>
          <w:numId w:val="1016"/>
        </w:numPr>
      </w:pPr>
      <w:r>
        <w:t xml:space="preserve">Congestive heart failure</w:t>
      </w:r>
    </w:p>
    <w:p>
      <w:pPr>
        <w:numPr>
          <w:ilvl w:val="2"/>
          <w:numId w:val="1016"/>
        </w:numPr>
      </w:pPr>
      <w:r>
        <w:t xml:space="preserve">Hypertension</w:t>
      </w:r>
    </w:p>
    <w:p>
      <w:pPr>
        <w:numPr>
          <w:ilvl w:val="2"/>
          <w:numId w:val="1016"/>
        </w:numPr>
      </w:pPr>
      <w:r>
        <w:t xml:space="preserve">Renal failure</w:t>
      </w:r>
    </w:p>
    <w:p>
      <w:pPr>
        <w:numPr>
          <w:ilvl w:val="2"/>
          <w:numId w:val="1016"/>
        </w:numPr>
      </w:pPr>
      <w:r>
        <w:t xml:space="preserve">Liver disease</w:t>
      </w:r>
    </w:p>
    <w:p>
      <w:pPr>
        <w:numPr>
          <w:ilvl w:val="2"/>
          <w:numId w:val="1016"/>
        </w:numPr>
      </w:pPr>
      <w:r>
        <w:t xml:space="preserve">Peripheral vascular disease</w:t>
      </w:r>
    </w:p>
    <w:p>
      <w:pPr>
        <w:numPr>
          <w:ilvl w:val="2"/>
          <w:numId w:val="1016"/>
        </w:numPr>
      </w:pPr>
      <w:r>
        <w:t xml:space="preserve">Chronic pulmonary disease</w:t>
      </w:r>
    </w:p>
    <w:p>
      <w:pPr>
        <w:numPr>
          <w:ilvl w:val="2"/>
          <w:numId w:val="1016"/>
        </w:numPr>
      </w:pPr>
      <w:r>
        <w:t xml:space="preserve">Dementia</w:t>
      </w:r>
    </w:p>
    <w:p>
      <w:pPr>
        <w:numPr>
          <w:ilvl w:val="2"/>
          <w:numId w:val="1016"/>
        </w:numPr>
      </w:pPr>
      <w:r>
        <w:t xml:space="preserve">Fluid and electrolyte imbalance</w:t>
      </w:r>
    </w:p>
    <w:p>
      <w:pPr>
        <w:numPr>
          <w:ilvl w:val="1"/>
          <w:numId w:val="1014"/>
        </w:numPr>
      </w:pPr>
      <w:r>
        <w:t xml:space="preserve">Hospital Characteristics:</w:t>
      </w:r>
    </w:p>
    <w:p>
      <w:pPr>
        <w:numPr>
          <w:ilvl w:val="2"/>
          <w:numId w:val="1017"/>
        </w:numPr>
      </w:pPr>
      <w:r>
        <w:t xml:space="preserve">Hospital bed size (Small, Medium, Large)</w:t>
      </w:r>
    </w:p>
    <w:p>
      <w:pPr>
        <w:numPr>
          <w:ilvl w:val="2"/>
          <w:numId w:val="1017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4"/>
        </w:numPr>
      </w:pPr>
      <w:r>
        <w:t xml:space="preserve">Disposition and Severity:</w:t>
      </w:r>
    </w:p>
    <w:p>
      <w:pPr>
        <w:numPr>
          <w:ilvl w:val="2"/>
          <w:numId w:val="1018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8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9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0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19"/>
        </w:numPr>
      </w:pPr>
      <w:r>
        <w:t xml:space="preserve">Descriptive Analyses:</w:t>
      </w:r>
    </w:p>
    <w:p>
      <w:pPr>
        <w:numPr>
          <w:ilvl w:val="2"/>
          <w:numId w:val="1021"/>
        </w:numPr>
      </w:pPr>
      <w:r>
        <w:t xml:space="preserve">Baseline characteristics were summarized across SLE vs. non-SLE groups using survey-weighted means/proportions.</w:t>
      </w:r>
    </w:p>
    <w:p>
      <w:pPr>
        <w:numPr>
          <w:ilvl w:val="2"/>
          <w:numId w:val="1021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19"/>
        </w:numPr>
      </w:pPr>
      <w:r>
        <w:t xml:space="preserve">Multivariable Regression:</w:t>
      </w:r>
    </w:p>
    <w:p>
      <w:pPr>
        <w:numPr>
          <w:ilvl w:val="2"/>
          <w:numId w:val="1022"/>
        </w:numPr>
      </w:pPr>
      <w:r>
        <w:t xml:space="preserve">A survey-weighted Cox proportional hazards model was used to assess the association between SLE status and time to 30-day readmission.</w:t>
      </w:r>
    </w:p>
    <w:p>
      <w:pPr>
        <w:numPr>
          <w:ilvl w:val="2"/>
          <w:numId w:val="1022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2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19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3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0"/>
    <w:bookmarkStart w:id="23" w:name="descriptive-analyses"/>
    <w:p>
      <w:pPr>
        <w:pStyle w:val="Heading2"/>
      </w:pPr>
      <w:r>
        <w:t xml:space="preserve">Descriptive Analyses</w:t>
      </w:r>
    </w:p>
    <w:bookmarkStart w:id="21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584,357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without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503,071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124,338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118,867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226,128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205,558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168,418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134,095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65,473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44,551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340,969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38,769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302,199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243,388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42,517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200,872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228,855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198,036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154,495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133,641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118,105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101,093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62,836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96,554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82,739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318,246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43,126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275,121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169,556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145,212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149,745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22,379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127,366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380,562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51,081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329,481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54,049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7,826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46,224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101,527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7,354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110,215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101,389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371,746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306,725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22,712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112,978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95,941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12,501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488,416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68,785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419,632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127,508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24,842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102,666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30,014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25,559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142,684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13,956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128,727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475,988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70,372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405,616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221,883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39,222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92,682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83,900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87,222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12,038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75,184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107,366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88,438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40,184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27,404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248,530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33,493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215,036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1"/>
    <w:bookmarkStart w:id="22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584,357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81,286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T2DM without hypoglycemia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503,071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501,653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69,271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432,383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82,704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70,689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4,534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29,983 (16,168, 58,778)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22,020 (13,207, 38,272)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31,820 (16,877, 62,864)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22,712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112,978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End w:id="23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4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4"/>
        </w:numPr>
      </w:pPr>
      <w:r>
        <w:t xml:space="preserve">Readmission (n): 82703</w:t>
      </w:r>
    </w:p>
    <w:p>
      <w:pPr>
        <w:numPr>
          <w:ilvl w:val="0"/>
          <w:numId w:val="1024"/>
        </w:numPr>
      </w:pPr>
      <w:r>
        <w:t xml:space="preserve">Readmission Rate (%): 14.15%</w:t>
      </w:r>
    </w:p>
    <w:p>
      <w:pPr>
        <w:numPr>
          <w:ilvl w:val="0"/>
          <w:numId w:val="1024"/>
        </w:numPr>
      </w:pPr>
      <w:r>
        <w:t xml:space="preserve">Readmission Rate (95% CI): 13.97% to 14.33%</w:t>
      </w:r>
    </w:p>
    <w:bookmarkEnd w:id="24"/>
    <w:bookmarkStart w:id="25" w:name="X677dc32b6de9dd909683c7bdcdc4397294ecb94"/>
    <w:p>
      <w:pPr>
        <w:pStyle w:val="Heading3"/>
      </w:pPr>
      <w:r>
        <w:t xml:space="preserve">In-Hospital Mortality by Readmission Status:</w:t>
      </w:r>
    </w:p>
    <w:bookmarkEnd w:id="25"/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5"/>
        </w:numPr>
      </w:pPr>
      <w:r>
        <w:t xml:space="preserve">Deaths (n): 2555</w:t>
      </w:r>
    </w:p>
    <w:p>
      <w:pPr>
        <w:numPr>
          <w:ilvl w:val="0"/>
          <w:numId w:val="1025"/>
        </w:numPr>
      </w:pPr>
      <w:r>
        <w:t xml:space="preserve">Death Rate (%): 3.1%</w:t>
      </w:r>
    </w:p>
    <w:p>
      <w:pPr>
        <w:numPr>
          <w:ilvl w:val="0"/>
          <w:numId w:val="1025"/>
        </w:numPr>
      </w:pPr>
      <w:r>
        <w:t xml:space="preserve">Death Rate (95% CI): 2.92% to 3.28%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Median Length of Stay (IQR), days: 4 (IQR: 2–7)</w:t>
      </w:r>
    </w:p>
    <w:p>
      <w:pPr>
        <w:numPr>
          <w:ilvl w:val="0"/>
          <w:numId w:val="1026"/>
        </w:numPr>
      </w:pPr>
      <w:r>
        <w:t xml:space="preserve">Median Total Charges (IQR): $33,580 (IQR: $18,435–$64,261)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Hypoglycemia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 with hypoglycemia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T2DM without hypoglycemia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Drug_abuse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Hypoglycemia on 30-Day Readmission and Survival Outcomes in Patients with Type 2 Diabetes Mellitus</dc:title>
  <dc:creator>Eliza Aisha</dc:creator>
  <cp:keywords/>
  <dcterms:created xsi:type="dcterms:W3CDTF">2025-07-27T20:12:35Z</dcterms:created>
  <dcterms:modified xsi:type="dcterms:W3CDTF">2025-07-27T20:12:35Z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2025_June_NRD_A12</vt:lpwstr>
  </property>
  <property fmtid="{D5CDD505-2E9C-101B-9397-08002B2CF9AE}" pid="12" name="toc-title">
    <vt:lpwstr>Table of contents</vt:lpwstr>
  </property>
</Properties>
</file>