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Burden and predictors of 30-day readmission in patients with aortic dissection</w:t>
      </w:r>
    </w:p>
    <w:p>
      <w:pPr>
        <w:pStyle w:val="Subtitle"/>
      </w:pPr>
      <w:r>
        <w:t xml:space="preserve">2025_June_NRD_A15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Adeena Jamil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Carroll et al., 2023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identify patient- and hospital-level predictors of 30-day all-cause hospital readmission among adults hospitalized for aortic dissection using a nationally representative dataset. This study also evaluates the clinical and economic burden of readmission in this high-risk population, including its associations with in-hospital mortality, length of stay (LOS), and hospital charges.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A retrospective cohort study using the 2016–2017 Nationwide Readmissions Database (NRD), developed by the Healthcare Cost and Utilization Project (HCUP). The NRD enables tracking of individual patients across hospitalizations within a given year via synthetic identifiers, capturing discharges from U.S. community hospitals and supporting survey-weighted national estimates through complex sampling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Index hospitalizations were included if they met all of the following criteria:</w:t>
      </w:r>
    </w:p>
    <w:p>
      <w:pPr>
        <w:numPr>
          <w:ilvl w:val="1"/>
          <w:numId w:val="1003"/>
        </w:numPr>
      </w:pPr>
      <w:r>
        <w:t xml:space="preserve">Adults aged ≥18 years</w:t>
      </w:r>
    </w:p>
    <w:p>
      <w:pPr>
        <w:numPr>
          <w:ilvl w:val="1"/>
          <w:numId w:val="1003"/>
        </w:numPr>
      </w:pPr>
      <w:r>
        <w:t xml:space="preserve">Principal diagnosis of aortic dissection, identified using ICD-10-CM code: I71.0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t xml:space="preserve">Primary Outcomes:</w:t>
      </w:r>
    </w:p>
    <w:p>
      <w:pPr>
        <w:pStyle w:val="Compact"/>
        <w:numPr>
          <w:ilvl w:val="2"/>
          <w:numId w:val="1005"/>
        </w:numPr>
      </w:pPr>
      <w:r>
        <w:t xml:space="preserve">Predictors of 30-day readmission</w:t>
      </w:r>
    </w:p>
    <w:p>
      <w:pPr>
        <w:numPr>
          <w:ilvl w:val="1"/>
          <w:numId w:val="1004"/>
        </w:numPr>
      </w:pPr>
      <w:r>
        <w:t xml:space="preserve">Secondary Outcomes:</w:t>
      </w:r>
    </w:p>
    <w:p>
      <w:pPr>
        <w:numPr>
          <w:ilvl w:val="2"/>
          <w:numId w:val="1006"/>
        </w:numPr>
      </w:pPr>
      <w:r>
        <w:t xml:space="preserve">In-hospital mortality (binary)</w:t>
      </w:r>
    </w:p>
    <w:p>
      <w:pPr>
        <w:numPr>
          <w:ilvl w:val="2"/>
          <w:numId w:val="1006"/>
        </w:numPr>
      </w:pPr>
      <w:r>
        <w:t xml:space="preserve">Length of stay (LOS, in days)</w:t>
      </w:r>
    </w:p>
    <w:p>
      <w:pPr>
        <w:numPr>
          <w:ilvl w:val="2"/>
          <w:numId w:val="1006"/>
        </w:numPr>
      </w:pPr>
      <w:r>
        <w:t xml:space="preserve">Total hospitalization charges (inflation-adjusted to 2017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7"/>
        </w:numPr>
      </w:pPr>
      <w:r>
        <w:t xml:space="preserve">Readmission:</w:t>
      </w:r>
    </w:p>
    <w:p>
      <w:pPr>
        <w:numPr>
          <w:ilvl w:val="2"/>
          <w:numId w:val="1008"/>
        </w:numPr>
      </w:pPr>
      <w:r>
        <w:t xml:space="preserve">Defined using NRD’s linkage variables. Readmissions were identified only among patients with qualifying index events.</w:t>
      </w:r>
    </w:p>
    <w:p>
      <w:pPr>
        <w:numPr>
          <w:ilvl w:val="2"/>
          <w:numId w:val="1008"/>
        </w:numPr>
      </w:pPr>
      <w:r>
        <w:t xml:space="preserve">Trauma-related hospitalizations were excluded only from the readmission pool to avoid injury-related returns unrelated to aortic dissection care.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09"/>
        </w:numPr>
      </w:pPr>
      <w:r>
        <w:t xml:space="preserve">Demographic &amp; Socioeconomic Factors:</w:t>
      </w:r>
    </w:p>
    <w:p>
      <w:pPr>
        <w:numPr>
          <w:ilvl w:val="2"/>
          <w:numId w:val="1010"/>
        </w:numPr>
      </w:pPr>
      <w:r>
        <w:t xml:space="preserve">Age (categorized: 18–49, 50–64, 65–79, 80+)</w:t>
      </w:r>
    </w:p>
    <w:p>
      <w:pPr>
        <w:numPr>
          <w:ilvl w:val="2"/>
          <w:numId w:val="1010"/>
        </w:numPr>
      </w:pPr>
      <w:r>
        <w:t xml:space="preserve">Sex (FEMALE; ref = Male)</w:t>
      </w:r>
    </w:p>
    <w:p>
      <w:pPr>
        <w:numPr>
          <w:ilvl w:val="2"/>
          <w:numId w:val="1010"/>
        </w:numPr>
      </w:pPr>
      <w:r>
        <w:t xml:space="preserve">Primary expected payer (PAY1; Medicare, Medicaid, Private, Other)</w:t>
      </w:r>
    </w:p>
    <w:p>
      <w:pPr>
        <w:numPr>
          <w:ilvl w:val="2"/>
          <w:numId w:val="1010"/>
        </w:numPr>
      </w:pPr>
      <w:r>
        <w:t xml:space="preserve">ZIP-based median income quartile</w:t>
      </w:r>
    </w:p>
    <w:p>
      <w:pPr>
        <w:numPr>
          <w:ilvl w:val="1"/>
          <w:numId w:val="1009"/>
        </w:numPr>
      </w:pPr>
      <w:r>
        <w:t xml:space="preserve">Clinical Characteristics:</w:t>
      </w:r>
    </w:p>
    <w:p>
      <w:pPr>
        <w:numPr>
          <w:ilvl w:val="2"/>
          <w:numId w:val="1011"/>
        </w:numPr>
      </w:pPr>
      <w:r>
        <w:t xml:space="preserve">Hypertension</w:t>
      </w:r>
    </w:p>
    <w:p>
      <w:pPr>
        <w:numPr>
          <w:ilvl w:val="2"/>
          <w:numId w:val="1011"/>
        </w:numPr>
      </w:pPr>
      <w:r>
        <w:t xml:space="preserve">Diabetes</w:t>
      </w:r>
    </w:p>
    <w:p>
      <w:pPr>
        <w:numPr>
          <w:ilvl w:val="2"/>
          <w:numId w:val="1011"/>
        </w:numPr>
      </w:pPr>
      <w:r>
        <w:t xml:space="preserve">Hyperlipidemia</w:t>
      </w:r>
    </w:p>
    <w:p>
      <w:pPr>
        <w:numPr>
          <w:ilvl w:val="2"/>
          <w:numId w:val="1011"/>
        </w:numPr>
      </w:pPr>
      <w:r>
        <w:t xml:space="preserve">Chronic Kidney Disease</w:t>
      </w:r>
    </w:p>
    <w:p>
      <w:pPr>
        <w:numPr>
          <w:ilvl w:val="2"/>
          <w:numId w:val="1011"/>
        </w:numPr>
      </w:pPr>
      <w:r>
        <w:t xml:space="preserve">Congestive heart failure</w:t>
      </w:r>
    </w:p>
    <w:p>
      <w:pPr>
        <w:numPr>
          <w:ilvl w:val="2"/>
          <w:numId w:val="1011"/>
        </w:numPr>
      </w:pPr>
      <w:r>
        <w:t xml:space="preserve">Valvular disease</w:t>
      </w:r>
    </w:p>
    <w:p>
      <w:pPr>
        <w:numPr>
          <w:ilvl w:val="2"/>
          <w:numId w:val="1011"/>
        </w:numPr>
      </w:pPr>
      <w:r>
        <w:t xml:space="preserve">Chronic pulmonary disease</w:t>
      </w:r>
    </w:p>
    <w:p>
      <w:pPr>
        <w:numPr>
          <w:ilvl w:val="2"/>
          <w:numId w:val="1011"/>
        </w:numPr>
      </w:pPr>
      <w:r>
        <w:t xml:space="preserve">Renal failure</w:t>
      </w:r>
    </w:p>
    <w:p>
      <w:pPr>
        <w:numPr>
          <w:ilvl w:val="2"/>
          <w:numId w:val="1011"/>
        </w:numPr>
      </w:pPr>
      <w:r>
        <w:t xml:space="preserve">Coagulopathy</w:t>
      </w:r>
    </w:p>
    <w:p>
      <w:pPr>
        <w:numPr>
          <w:ilvl w:val="2"/>
          <w:numId w:val="1011"/>
        </w:numPr>
      </w:pPr>
      <w:r>
        <w:t xml:space="preserve">Obesity</w:t>
      </w:r>
    </w:p>
    <w:p>
      <w:pPr>
        <w:numPr>
          <w:ilvl w:val="2"/>
          <w:numId w:val="1011"/>
        </w:numPr>
      </w:pPr>
      <w:r>
        <w:t xml:space="preserve">Fluid and electrolyte imbalance</w:t>
      </w:r>
    </w:p>
    <w:p>
      <w:pPr>
        <w:numPr>
          <w:ilvl w:val="2"/>
          <w:numId w:val="1011"/>
        </w:numPr>
      </w:pPr>
      <w:r>
        <w:t xml:space="preserve">Drug abuse</w:t>
      </w:r>
    </w:p>
    <w:p>
      <w:pPr>
        <w:numPr>
          <w:ilvl w:val="1"/>
          <w:numId w:val="1009"/>
        </w:numPr>
      </w:pPr>
      <w:r>
        <w:t xml:space="preserve">Hospital Characteristics:</w:t>
      </w:r>
    </w:p>
    <w:p>
      <w:pPr>
        <w:numPr>
          <w:ilvl w:val="2"/>
          <w:numId w:val="1012"/>
        </w:numPr>
      </w:pPr>
      <w:r>
        <w:t xml:space="preserve">Hospital bed size (Small, Medium, Large)</w:t>
      </w:r>
    </w:p>
    <w:p>
      <w:pPr>
        <w:numPr>
          <w:ilvl w:val="2"/>
          <w:numId w:val="1012"/>
        </w:numPr>
      </w:pPr>
      <w:r>
        <w:t xml:space="preserve">Admission day (Weekend vs Weekday)</w:t>
      </w:r>
    </w:p>
    <w:p>
      <w:pPr>
        <w:numPr>
          <w:ilvl w:val="1"/>
          <w:numId w:val="1009"/>
        </w:numPr>
      </w:pPr>
      <w:r>
        <w:t xml:space="preserve">Disposition and Severity:</w:t>
      </w:r>
    </w:p>
    <w:p>
      <w:pPr>
        <w:numPr>
          <w:ilvl w:val="2"/>
          <w:numId w:val="1013"/>
        </w:numPr>
      </w:pPr>
      <w:r>
        <w:t xml:space="preserve">Discharge disposition</w:t>
      </w:r>
    </w:p>
    <w:p>
      <w:pPr>
        <w:numPr>
          <w:ilvl w:val="2"/>
          <w:numId w:val="1013"/>
        </w:numPr>
      </w:pPr>
      <w:r>
        <w:t xml:space="preserve">Number of comorbidities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4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5"/>
        </w:numPr>
      </w:pPr>
      <w:r>
        <w:t xml:space="preserve">All analyses incorporated NRD’s complex sampling design via the survey and srvyr packages.</w:t>
      </w:r>
    </w:p>
    <w:p>
      <w:pPr>
        <w:numPr>
          <w:ilvl w:val="1"/>
          <w:numId w:val="1014"/>
        </w:numPr>
      </w:pPr>
      <w:r>
        <w:t xml:space="preserve">Descriptive Statistics:</w:t>
      </w:r>
    </w:p>
    <w:p>
      <w:pPr>
        <w:numPr>
          <w:ilvl w:val="2"/>
          <w:numId w:val="1016"/>
        </w:numPr>
      </w:pPr>
      <w:r>
        <w:t xml:space="preserve">Weighted baseline characteristics of index hospitalizations were summarized and stratified by 30-day readmission status to compare patients who were readmitted versus those who were not.</w:t>
      </w:r>
    </w:p>
    <w:p>
      <w:pPr>
        <w:numPr>
          <w:ilvl w:val="2"/>
          <w:numId w:val="1016"/>
        </w:numPr>
      </w:pPr>
      <w:r>
        <w:t xml:space="preserve">Stratification was performed using a derived binary variable, which categorized patients as:</w:t>
      </w:r>
    </w:p>
    <w:p>
      <w:pPr>
        <w:numPr>
          <w:ilvl w:val="3"/>
          <w:numId w:val="1017"/>
        </w:numPr>
      </w:pPr>
      <w:r>
        <w:t xml:space="preserve">With 30-day readmission</w:t>
      </w:r>
    </w:p>
    <w:p>
      <w:pPr>
        <w:numPr>
          <w:ilvl w:val="3"/>
          <w:numId w:val="1017"/>
        </w:numPr>
      </w:pPr>
      <w:r>
        <w:t xml:space="preserve">Without readmission</w:t>
      </w:r>
    </w:p>
    <w:p>
      <w:pPr>
        <w:numPr>
          <w:ilvl w:val="2"/>
          <w:numId w:val="1016"/>
        </w:numPr>
      </w:pPr>
      <w:r>
        <w:t xml:space="preserve">P-values from statistical tests (Rao–Scott adjusted chi-square for categorical variables; Kruskal–Wallis test for continuous variables).</w:t>
      </w:r>
    </w:p>
    <w:p>
      <w:pPr>
        <w:numPr>
          <w:ilvl w:val="1"/>
          <w:numId w:val="1014"/>
        </w:numPr>
      </w:pPr>
      <w:r>
        <w:t xml:space="preserve">Multivariable Regression:</w:t>
      </w:r>
    </w:p>
    <w:p>
      <w:pPr>
        <w:numPr>
          <w:ilvl w:val="2"/>
          <w:numId w:val="1018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18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18"/>
        </w:numPr>
      </w:pPr>
      <w:r>
        <w:t xml:space="preserve">Results were exponentiated to yield odds ratios (ORs) with 95% confidence intervals.</w:t>
      </w:r>
    </w:p>
    <w:p>
      <w:pPr>
        <w:numPr>
          <w:ilvl w:val="1"/>
          <w:numId w:val="1014"/>
        </w:numPr>
      </w:pPr>
      <w:r>
        <w:t xml:space="preserve">The ten most common principle diagnoses for readmission were reported according to decreasing prevalence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5" w:name="descriptive-statistics"/>
    <w:p>
      <w:pPr>
        <w:pStyle w:val="Heading2"/>
      </w:pPr>
      <w:r>
        <w:t xml:space="preserve">Descriptive Statistics:</w:t>
      </w:r>
    </w:p>
    <w:bookmarkStart w:id="22" w:name="readmission-rate"/>
    <w:p>
      <w:pPr>
        <w:pStyle w:val="Heading3"/>
      </w:pPr>
      <w:r>
        <w:t xml:space="preserve">Readmission Rate:</w:t>
      </w:r>
    </w:p>
    <w:p>
      <w:pPr>
        <w:pStyle w:val="FirstParagraph"/>
      </w:pPr>
      <w:r>
        <w:t xml:space="preserve">Index hospitalizations resulted in:</w:t>
      </w:r>
    </w:p>
    <w:p>
      <w:pPr>
        <w:numPr>
          <w:ilvl w:val="0"/>
          <w:numId w:val="1019"/>
        </w:numPr>
      </w:pPr>
      <w:r>
        <w:t xml:space="preserve">Readmission (n): 3156</w:t>
      </w:r>
    </w:p>
    <w:p>
      <w:pPr>
        <w:numPr>
          <w:ilvl w:val="0"/>
          <w:numId w:val="1019"/>
        </w:numPr>
      </w:pPr>
      <w:r>
        <w:t xml:space="preserve">Readmission Rate (%): 11.92%</w:t>
      </w:r>
    </w:p>
    <w:p>
      <w:pPr>
        <w:numPr>
          <w:ilvl w:val="0"/>
          <w:numId w:val="1019"/>
        </w:numPr>
      </w:pPr>
      <w:r>
        <w:t xml:space="preserve">Readmission Rate (95% CI): 11.31% to 12.53%</w:t>
      </w:r>
    </w:p>
    <w:bookmarkEnd w:id="22"/>
    <w:bookmarkStart w:id="23" w:name="X677dc32b6de9dd909683c7bdcdc4397294ecb94"/>
    <w:p>
      <w:pPr>
        <w:pStyle w:val="Heading3"/>
      </w:pPr>
      <w:r>
        <w:t xml:space="preserve">In-Hospital Mortality by Readmission Status:</w:t>
      </w:r>
    </w:p>
    <w:p>
      <w:pPr>
        <w:pStyle w:val="FirstParagraph"/>
      </w:pPr>
      <w:r>
        <w:t xml:space="preserve">Index hospitalizations resulted in:</w:t>
      </w:r>
    </w:p>
    <w:p>
      <w:pPr>
        <w:numPr>
          <w:ilvl w:val="0"/>
          <w:numId w:val="1020"/>
        </w:numPr>
      </w:pPr>
      <w:r>
        <w:t xml:space="preserve">Deaths (n): 3360</w:t>
      </w:r>
    </w:p>
    <w:p>
      <w:pPr>
        <w:numPr>
          <w:ilvl w:val="0"/>
          <w:numId w:val="1020"/>
        </w:numPr>
      </w:pPr>
      <w:r>
        <w:t xml:space="preserve">Death Rate (%): 12.7%</w:t>
      </w:r>
    </w:p>
    <w:p>
      <w:pPr>
        <w:numPr>
          <w:ilvl w:val="0"/>
          <w:numId w:val="1020"/>
        </w:numPr>
      </w:pPr>
      <w:r>
        <w:t xml:space="preserve">Death Rate (95% CI): 11.93% to 13.47%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1"/>
        </w:numPr>
      </w:pPr>
      <w:r>
        <w:t xml:space="preserve">Deaths (n): 89</w:t>
      </w:r>
    </w:p>
    <w:p>
      <w:pPr>
        <w:numPr>
          <w:ilvl w:val="0"/>
          <w:numId w:val="1021"/>
        </w:numPr>
      </w:pPr>
      <w:r>
        <w:t xml:space="preserve">Death Rate (%): 2.86%</w:t>
      </w:r>
    </w:p>
    <w:p>
      <w:pPr>
        <w:numPr>
          <w:ilvl w:val="0"/>
          <w:numId w:val="1021"/>
        </w:numPr>
      </w:pPr>
      <w:r>
        <w:t xml:space="preserve">Death Rate (95% CI): 2.02% to 3.71%</w:t>
      </w:r>
    </w:p>
    <w:bookmarkEnd w:id="23"/>
    <w:bookmarkStart w:id="24" w:name="los-and-cost-by-readmission-status"/>
    <w:p>
      <w:pPr>
        <w:pStyle w:val="Heading3"/>
      </w:pPr>
      <w:r>
        <w:t xml:space="preserve">LOS and Cost by Readmission Status:</w:t>
      </w:r>
    </w:p>
    <w:p>
      <w:pPr>
        <w:pStyle w:val="FirstParagraph"/>
      </w:pPr>
      <w:r>
        <w:t xml:space="preserve">Index hospitalizations resulted in:</w:t>
      </w:r>
    </w:p>
    <w:p>
      <w:pPr>
        <w:numPr>
          <w:ilvl w:val="0"/>
          <w:numId w:val="1022"/>
        </w:numPr>
      </w:pPr>
      <w:r>
        <w:t xml:space="preserve">Mean Length of Stay (days): 9.53</w:t>
      </w:r>
    </w:p>
    <w:p>
      <w:pPr>
        <w:numPr>
          <w:ilvl w:val="0"/>
          <w:numId w:val="1022"/>
        </w:numPr>
      </w:pPr>
      <w:r>
        <w:t xml:space="preserve">Mean Length of Stay (95% CI): 9.26 to 9.8</w:t>
      </w:r>
    </w:p>
    <w:p>
      <w:pPr>
        <w:numPr>
          <w:ilvl w:val="0"/>
          <w:numId w:val="1022"/>
        </w:numPr>
      </w:pPr>
      <w:r>
        <w:t xml:space="preserve">Mean Charge ($): 231509</w:t>
      </w:r>
    </w:p>
    <w:p>
      <w:pPr>
        <w:numPr>
          <w:ilvl w:val="0"/>
          <w:numId w:val="1022"/>
        </w:numPr>
      </w:pPr>
      <w:r>
        <w:t xml:space="preserve">Mean Charge (95% CI): 217524 to 245495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3"/>
        </w:numPr>
      </w:pPr>
      <w:r>
        <w:t xml:space="preserve">Mean Length of Stay (days): 6.21</w:t>
      </w:r>
    </w:p>
    <w:p>
      <w:pPr>
        <w:numPr>
          <w:ilvl w:val="0"/>
          <w:numId w:val="1023"/>
        </w:numPr>
      </w:pPr>
      <w:r>
        <w:t xml:space="preserve">Mean Length of Stay (95% CI): 5.81 to 6.6</w:t>
      </w:r>
    </w:p>
    <w:p>
      <w:pPr>
        <w:numPr>
          <w:ilvl w:val="0"/>
          <w:numId w:val="1023"/>
        </w:numPr>
      </w:pPr>
      <w:r>
        <w:t xml:space="preserve">Mean Charge ($): 98918</w:t>
      </w:r>
    </w:p>
    <w:p>
      <w:pPr>
        <w:numPr>
          <w:ilvl w:val="0"/>
          <w:numId w:val="1023"/>
        </w:numPr>
      </w:pPr>
      <w:r>
        <w:t xml:space="preserve">Mean Charge (95% CI): 89153 to 108684</w:t>
      </w:r>
    </w:p>
    <w:bookmarkEnd w:id="24"/>
    <w:bookmarkEnd w:id="25"/>
    <w:bookmarkStart w:id="26" w:name="baseline-characteristics"/>
    <w:p>
      <w:pPr>
        <w:pStyle w:val="Heading2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26,477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23,321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30-day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3,157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16,556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14,546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9,921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8,775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7,127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6,355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13,451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11,867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2,507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2,192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6,913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6,814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6,009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6,345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4,964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4,410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20,380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18,003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2,377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6,097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5,317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3,344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22,638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19,894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2,744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1,297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1,124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20,570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18,115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2,455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4,610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4,082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9,517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8,503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16,960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14,818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2,142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2,417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2,118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5,730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5,076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6,064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5,361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4,664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4,081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10,835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9,544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1,291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5,493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4,690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21,573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18,969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2,604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3,081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10,215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9,000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1,828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1,558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26"/>
    <w:bookmarkStart w:id="28" w:name="multivariable-regression"/>
    <w:p>
      <w:pPr>
        <w:pStyle w:val="Heading2"/>
      </w:pPr>
      <w:r>
        <w:t xml:space="preserve">Multivariable Regression</w:t>
      </w:r>
    </w:p>
    <w:bookmarkStart w:id="27" w:name="day-readmission"/>
    <w:p>
      <w:pPr>
        <w:pStyle w:val="Heading3"/>
      </w:pPr>
      <w:r>
        <w:t xml:space="preserve">30-Day Readmission: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ubmed.ncbi.nlm.nih.gov/31839347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ubmed.ncbi.nlm.nih.gov/31839347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Burden and predictors of 30-day readmission in patients with aortic dissection</dc:title>
  <dc:creator>Eliza Aisha; Adeena Jamil</dc:creator>
  <cp:keywords/>
  <dcterms:created xsi:type="dcterms:W3CDTF">2026-03-16T19:58:23Z</dcterms:created>
  <dcterms:modified xsi:type="dcterms:W3CDTF">2026-03-16T19:58:23Z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2025_June_NRD_A15</vt:lpwstr>
  </property>
  <property fmtid="{D5CDD505-2E9C-101B-9397-08002B2CF9AE}" pid="12" name="toc-title">
    <vt:lpwstr>Table of contents</vt:lpwstr>
  </property>
</Properties>
</file>