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Burden and predictors of 30-day readmission in patients with aortic dissection</w:t>
      </w:r>
    </w:p>
    <w:p>
      <w:pPr>
        <w:pStyle w:val="Subtitle"/>
      </w:pPr>
      <w:r>
        <w:t xml:space="preserve">2025_June_NRD_A15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Carroll et al., 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sepsis and comorbid diabetes mellitus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thoracic or thoracoabdominal aortic dissection, identified using ICD-10-CM codes: I7101 and I7103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Outcomes:</w:t>
      </w:r>
    </w:p>
    <w:p>
      <w:pPr>
        <w:pStyle w:val="Compact"/>
        <w:numPr>
          <w:ilvl w:val="2"/>
          <w:numId w:val="1005"/>
        </w:numPr>
      </w:pPr>
      <w:r>
        <w:t xml:space="preserve">Predictors of 30-day readmission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aortic dissection care.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9"/>
        </w:numPr>
      </w:pPr>
      <w:r>
        <w:t xml:space="preserve">Demographic &amp; Socioeconomic Factors:</w:t>
      </w:r>
    </w:p>
    <w:p>
      <w:pPr>
        <w:numPr>
          <w:ilvl w:val="2"/>
          <w:numId w:val="1010"/>
        </w:numPr>
      </w:pPr>
      <w:r>
        <w:t xml:space="preserve">Age (categorized: 18–49, 50–64, 65–79, 80+)</w:t>
      </w:r>
    </w:p>
    <w:p>
      <w:pPr>
        <w:numPr>
          <w:ilvl w:val="2"/>
          <w:numId w:val="1010"/>
        </w:numPr>
      </w:pPr>
      <w:r>
        <w:t xml:space="preserve">Sex (FEMALE; ref = Male)</w:t>
      </w:r>
    </w:p>
    <w:p>
      <w:pPr>
        <w:numPr>
          <w:ilvl w:val="2"/>
          <w:numId w:val="1010"/>
        </w:numPr>
      </w:pPr>
      <w:r>
        <w:t xml:space="preserve">Primary expected payer (PAY1; Medicare, Medicaid, Private, Other)</w:t>
      </w:r>
    </w:p>
    <w:p>
      <w:pPr>
        <w:numPr>
          <w:ilvl w:val="2"/>
          <w:numId w:val="1010"/>
        </w:numPr>
      </w:pPr>
      <w:r>
        <w:t xml:space="preserve">ZIP-based median income quartile</w:t>
      </w:r>
    </w:p>
    <w:p>
      <w:pPr>
        <w:numPr>
          <w:ilvl w:val="1"/>
          <w:numId w:val="1009"/>
        </w:numPr>
      </w:pPr>
      <w:r>
        <w:t xml:space="preserve">Clinical Characteristics:</w:t>
      </w:r>
    </w:p>
    <w:p>
      <w:pPr>
        <w:numPr>
          <w:ilvl w:val="2"/>
          <w:numId w:val="1011"/>
        </w:numPr>
      </w:pPr>
      <w:r>
        <w:t xml:space="preserve">Hypertension</w:t>
      </w:r>
    </w:p>
    <w:p>
      <w:pPr>
        <w:numPr>
          <w:ilvl w:val="2"/>
          <w:numId w:val="1011"/>
        </w:numPr>
      </w:pPr>
      <w:r>
        <w:t xml:space="preserve">Diabetes</w:t>
      </w:r>
    </w:p>
    <w:p>
      <w:pPr>
        <w:numPr>
          <w:ilvl w:val="2"/>
          <w:numId w:val="1011"/>
        </w:numPr>
      </w:pPr>
      <w:r>
        <w:t xml:space="preserve">Hyperlipidemia</w:t>
      </w:r>
    </w:p>
    <w:p>
      <w:pPr>
        <w:numPr>
          <w:ilvl w:val="2"/>
          <w:numId w:val="1011"/>
        </w:numPr>
      </w:pPr>
      <w:r>
        <w:t xml:space="preserve">Chronic Kidney Disease</w:t>
      </w:r>
    </w:p>
    <w:p>
      <w:pPr>
        <w:numPr>
          <w:ilvl w:val="2"/>
          <w:numId w:val="1011"/>
        </w:numPr>
      </w:pPr>
      <w:r>
        <w:t xml:space="preserve">Congestive heart failure</w:t>
      </w:r>
    </w:p>
    <w:p>
      <w:pPr>
        <w:numPr>
          <w:ilvl w:val="2"/>
          <w:numId w:val="1011"/>
        </w:numPr>
      </w:pPr>
      <w:r>
        <w:t xml:space="preserve">Valvular disease</w:t>
      </w:r>
    </w:p>
    <w:p>
      <w:pPr>
        <w:numPr>
          <w:ilvl w:val="2"/>
          <w:numId w:val="1011"/>
        </w:numPr>
      </w:pPr>
      <w:r>
        <w:t xml:space="preserve">Chronic pulmonary disease</w:t>
      </w:r>
    </w:p>
    <w:p>
      <w:pPr>
        <w:numPr>
          <w:ilvl w:val="2"/>
          <w:numId w:val="1011"/>
        </w:numPr>
      </w:pPr>
      <w:r>
        <w:t xml:space="preserve">Renal failure</w:t>
      </w:r>
    </w:p>
    <w:p>
      <w:pPr>
        <w:numPr>
          <w:ilvl w:val="2"/>
          <w:numId w:val="1011"/>
        </w:numPr>
      </w:pPr>
      <w:r>
        <w:t xml:space="preserve">Coagulopathy</w:t>
      </w:r>
    </w:p>
    <w:p>
      <w:pPr>
        <w:numPr>
          <w:ilvl w:val="2"/>
          <w:numId w:val="1011"/>
        </w:numPr>
      </w:pPr>
      <w:r>
        <w:t xml:space="preserve">Obesity</w:t>
      </w:r>
    </w:p>
    <w:p>
      <w:pPr>
        <w:numPr>
          <w:ilvl w:val="2"/>
          <w:numId w:val="1011"/>
        </w:numPr>
      </w:pPr>
      <w:r>
        <w:t xml:space="preserve">Fluid and electrolyte imbalance</w:t>
      </w:r>
    </w:p>
    <w:p>
      <w:pPr>
        <w:numPr>
          <w:ilvl w:val="2"/>
          <w:numId w:val="1011"/>
        </w:numPr>
      </w:pPr>
      <w:r>
        <w:t xml:space="preserve">Drug abuse</w:t>
      </w:r>
    </w:p>
    <w:p>
      <w:pPr>
        <w:numPr>
          <w:ilvl w:val="1"/>
          <w:numId w:val="1009"/>
        </w:numPr>
      </w:pPr>
      <w:r>
        <w:t xml:space="preserve">Hospital Characteristics:</w:t>
      </w:r>
    </w:p>
    <w:p>
      <w:pPr>
        <w:numPr>
          <w:ilvl w:val="2"/>
          <w:numId w:val="1012"/>
        </w:numPr>
      </w:pPr>
      <w:r>
        <w:t xml:space="preserve">Hospital bed size (Small, Medium, Large)</w:t>
      </w:r>
    </w:p>
    <w:p>
      <w:pPr>
        <w:numPr>
          <w:ilvl w:val="2"/>
          <w:numId w:val="1012"/>
        </w:numPr>
      </w:pPr>
      <w:r>
        <w:t xml:space="preserve">Admission day (Weekend vs Weekday)</w:t>
      </w:r>
    </w:p>
    <w:p>
      <w:pPr>
        <w:numPr>
          <w:ilvl w:val="1"/>
          <w:numId w:val="1009"/>
        </w:numPr>
      </w:pPr>
      <w:r>
        <w:t xml:space="preserve">Disposition and Severity:</w:t>
      </w:r>
    </w:p>
    <w:p>
      <w:pPr>
        <w:numPr>
          <w:ilvl w:val="2"/>
          <w:numId w:val="1013"/>
        </w:numPr>
      </w:pPr>
      <w:r>
        <w:t xml:space="preserve">Discharge disposition</w:t>
      </w:r>
    </w:p>
    <w:p>
      <w:pPr>
        <w:numPr>
          <w:ilvl w:val="2"/>
          <w:numId w:val="1013"/>
        </w:numPr>
      </w:pPr>
      <w:r>
        <w:t xml:space="preserve">Number of comorbidities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5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4"/>
        </w:numPr>
      </w:pPr>
      <w:r>
        <w:t xml:space="preserve">Descriptive Statistics:</w:t>
      </w:r>
    </w:p>
    <w:p>
      <w:pPr>
        <w:numPr>
          <w:ilvl w:val="2"/>
          <w:numId w:val="1016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6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7"/>
        </w:numPr>
      </w:pPr>
      <w:r>
        <w:t xml:space="preserve">With 30-day readmission</w:t>
      </w:r>
    </w:p>
    <w:p>
      <w:pPr>
        <w:numPr>
          <w:ilvl w:val="3"/>
          <w:numId w:val="1017"/>
        </w:numPr>
      </w:pPr>
      <w:r>
        <w:t xml:space="preserve">Without readmission</w:t>
      </w:r>
    </w:p>
    <w:p>
      <w:pPr>
        <w:numPr>
          <w:ilvl w:val="2"/>
          <w:numId w:val="1016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4"/>
        </w:numPr>
      </w:pPr>
      <w:r>
        <w:t xml:space="preserve">Multivariable Regression:</w:t>
      </w:r>
    </w:p>
    <w:p>
      <w:pPr>
        <w:numPr>
          <w:ilvl w:val="2"/>
          <w:numId w:val="1018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18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8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14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19"/>
        </w:numPr>
      </w:pPr>
      <w:r>
        <w:t xml:space="preserve">Readmission (n): 3156</w:t>
      </w:r>
    </w:p>
    <w:p>
      <w:pPr>
        <w:numPr>
          <w:ilvl w:val="0"/>
          <w:numId w:val="1019"/>
        </w:numPr>
      </w:pPr>
      <w:r>
        <w:t xml:space="preserve">Readmission Rate (%): 11.92%</w:t>
      </w:r>
    </w:p>
    <w:p>
      <w:pPr>
        <w:numPr>
          <w:ilvl w:val="0"/>
          <w:numId w:val="1019"/>
        </w:numPr>
      </w:pPr>
      <w:r>
        <w:t xml:space="preserve">Readmission Rate (95% CI): 11.31% to 12.53%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0"/>
        </w:numPr>
      </w:pPr>
      <w:r>
        <w:t xml:space="preserve">Deaths (n): 3360</w:t>
      </w:r>
    </w:p>
    <w:p>
      <w:pPr>
        <w:numPr>
          <w:ilvl w:val="0"/>
          <w:numId w:val="1020"/>
        </w:numPr>
      </w:pPr>
      <w:r>
        <w:t xml:space="preserve">Death Rate (%): 12.7%</w:t>
      </w:r>
    </w:p>
    <w:p>
      <w:pPr>
        <w:numPr>
          <w:ilvl w:val="0"/>
          <w:numId w:val="1020"/>
        </w:numPr>
      </w:pPr>
      <w:r>
        <w:t xml:space="preserve">Death Rate (95% CI): 11.93% to 13.47%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1"/>
        </w:numPr>
      </w:pPr>
      <w:r>
        <w:t xml:space="preserve">Deaths (n): 89</w:t>
      </w:r>
    </w:p>
    <w:p>
      <w:pPr>
        <w:numPr>
          <w:ilvl w:val="0"/>
          <w:numId w:val="1021"/>
        </w:numPr>
      </w:pPr>
      <w:r>
        <w:t xml:space="preserve">Death Rate (%): 2.86%</w:t>
      </w:r>
    </w:p>
    <w:p>
      <w:pPr>
        <w:numPr>
          <w:ilvl w:val="0"/>
          <w:numId w:val="1021"/>
        </w:numPr>
      </w:pPr>
      <w:r>
        <w:t xml:space="preserve">Death Rate (95% CI): 2.02% to 3.71%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Mean Length of Stay (days): 9.53</w:t>
      </w:r>
    </w:p>
    <w:p>
      <w:pPr>
        <w:numPr>
          <w:ilvl w:val="0"/>
          <w:numId w:val="1022"/>
        </w:numPr>
      </w:pPr>
      <w:r>
        <w:t xml:space="preserve">Mean Length of Stay (95% CI): 9.26 to 9.8</w:t>
      </w:r>
    </w:p>
    <w:p>
      <w:pPr>
        <w:numPr>
          <w:ilvl w:val="0"/>
          <w:numId w:val="1022"/>
        </w:numPr>
      </w:pPr>
      <w:r>
        <w:t xml:space="preserve">Mean Charge ($): 231509</w:t>
      </w:r>
    </w:p>
    <w:p>
      <w:pPr>
        <w:numPr>
          <w:ilvl w:val="0"/>
          <w:numId w:val="1022"/>
        </w:numPr>
      </w:pPr>
      <w:r>
        <w:t xml:space="preserve">Mean Charge (95% CI): 217524 to 245494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Mean Length of Stay (days): 6.21</w:t>
      </w:r>
    </w:p>
    <w:p>
      <w:pPr>
        <w:numPr>
          <w:ilvl w:val="0"/>
          <w:numId w:val="1023"/>
        </w:numPr>
      </w:pPr>
      <w:r>
        <w:t xml:space="preserve">Mean Length of Stay (95% CI): 5.81 to 6.6</w:t>
      </w:r>
    </w:p>
    <w:p>
      <w:pPr>
        <w:numPr>
          <w:ilvl w:val="0"/>
          <w:numId w:val="1023"/>
        </w:numPr>
      </w:pPr>
      <w:r>
        <w:t xml:space="preserve">Mean Charge ($): 98918</w:t>
      </w:r>
    </w:p>
    <w:p>
      <w:pPr>
        <w:numPr>
          <w:ilvl w:val="0"/>
          <w:numId w:val="1023"/>
        </w:numPr>
      </w:pPr>
      <w:r>
        <w:t xml:space="preserve">Mean Charge (95% CI): 89158 to 108679</w:t>
      </w:r>
    </w:p>
    <w:bookmarkEnd w:id="24"/>
    <w:bookmarkEnd w:id="25"/>
    <w:bookmarkStart w:id="26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26,477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23,321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3,157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16,556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14,546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9,921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8,775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11,867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2,507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2,192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6,345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20,380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18,003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2,377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6,097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5,317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20,570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18,115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4,082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9,517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8,503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14,818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2,417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2,118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5,076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4,081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10,835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9,544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5,642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4,842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5,493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21,573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18,969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2,604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9,000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1,828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1,558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183934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183934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Burden and predictors of 30-day readmission in patients with aortic dissection</dc:title>
  <dc:creator>Eliza Aisha; Adeena Jamil</dc:creator>
  <cp:keywords/>
  <dcterms:created xsi:type="dcterms:W3CDTF">2025-07-25T14:43:22Z</dcterms:created>
  <dcterms:modified xsi:type="dcterms:W3CDTF">2025-07-25T14:43:22Z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2025_June_NRD_A15</vt:lpwstr>
  </property>
  <property fmtid="{D5CDD505-2E9C-101B-9397-08002B2CF9AE}" pid="12" name="toc-title">
    <vt:lpwstr>Table of contents</vt:lpwstr>
  </property>
</Properties>
</file>