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Burden and predictors of 90-day readmission in patients with aortic dissection</w:t>
      </w:r>
    </w:p>
    <w:p>
      <w:pPr>
        <w:pStyle w:val="Subtitle"/>
      </w:pPr>
      <w:r>
        <w:t xml:space="preserve">2025_June_NRD_A15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Carroll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adults hospitalized for aortic dissection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thoracic or thoracoabdominal aortic dissection, identified using ICD-10-CM codes: I7101 and I7103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Predictors of 90-day readmission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aortic dissection care.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 (categorized: 18–49, 50–64, 65–79, 80+)</w:t>
      </w:r>
    </w:p>
    <w:p>
      <w:pPr>
        <w:numPr>
          <w:ilvl w:val="2"/>
          <w:numId w:val="1010"/>
        </w:numPr>
      </w:pPr>
      <w:r>
        <w:t xml:space="preserve">Sex (FEMALE; ref = Male)</w:t>
      </w:r>
    </w:p>
    <w:p>
      <w:pPr>
        <w:numPr>
          <w:ilvl w:val="2"/>
          <w:numId w:val="1010"/>
        </w:numPr>
      </w:pPr>
      <w:r>
        <w:t xml:space="preserve">Primary expected payer (PAY1;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numPr>
          <w:ilvl w:val="2"/>
          <w:numId w:val="1011"/>
        </w:numPr>
      </w:pPr>
      <w:r>
        <w:t xml:space="preserve">Hypertension</w:t>
      </w:r>
    </w:p>
    <w:p>
      <w:pPr>
        <w:numPr>
          <w:ilvl w:val="2"/>
          <w:numId w:val="1011"/>
        </w:numPr>
      </w:pPr>
      <w:r>
        <w:t xml:space="preserve">Diabetes</w:t>
      </w:r>
    </w:p>
    <w:p>
      <w:pPr>
        <w:numPr>
          <w:ilvl w:val="2"/>
          <w:numId w:val="1011"/>
        </w:numPr>
      </w:pPr>
      <w:r>
        <w:t xml:space="preserve">Hyperlipidemia</w:t>
      </w:r>
    </w:p>
    <w:p>
      <w:pPr>
        <w:numPr>
          <w:ilvl w:val="2"/>
          <w:numId w:val="1011"/>
        </w:numPr>
      </w:pPr>
      <w:r>
        <w:t xml:space="preserve">Chronic Kidney Disease</w:t>
      </w:r>
    </w:p>
    <w:p>
      <w:pPr>
        <w:numPr>
          <w:ilvl w:val="2"/>
          <w:numId w:val="1011"/>
        </w:numPr>
      </w:pPr>
      <w:r>
        <w:t xml:space="preserve">Congestive heart failure</w:t>
      </w:r>
    </w:p>
    <w:p>
      <w:pPr>
        <w:numPr>
          <w:ilvl w:val="2"/>
          <w:numId w:val="1011"/>
        </w:numPr>
      </w:pPr>
      <w:r>
        <w:t xml:space="preserve">Valvular disease</w:t>
      </w:r>
    </w:p>
    <w:p>
      <w:pPr>
        <w:numPr>
          <w:ilvl w:val="2"/>
          <w:numId w:val="1011"/>
        </w:numPr>
      </w:pPr>
      <w:r>
        <w:t xml:space="preserve">Chronic pulmonary disease</w:t>
      </w:r>
    </w:p>
    <w:p>
      <w:pPr>
        <w:numPr>
          <w:ilvl w:val="2"/>
          <w:numId w:val="1011"/>
        </w:numPr>
      </w:pPr>
      <w:r>
        <w:t xml:space="preserve">Renal failure</w:t>
      </w:r>
    </w:p>
    <w:p>
      <w:pPr>
        <w:numPr>
          <w:ilvl w:val="2"/>
          <w:numId w:val="1011"/>
        </w:numPr>
      </w:pPr>
      <w:r>
        <w:t xml:space="preserve">Coagulopathy</w:t>
      </w:r>
    </w:p>
    <w:p>
      <w:pPr>
        <w:numPr>
          <w:ilvl w:val="2"/>
          <w:numId w:val="1011"/>
        </w:numPr>
      </w:pPr>
      <w:r>
        <w:t xml:space="preserve">Obesity</w:t>
      </w:r>
    </w:p>
    <w:p>
      <w:pPr>
        <w:numPr>
          <w:ilvl w:val="2"/>
          <w:numId w:val="1011"/>
        </w:numPr>
      </w:pPr>
      <w:r>
        <w:t xml:space="preserve">Fluid and electrolyte imbalance</w:t>
      </w:r>
    </w:p>
    <w:p>
      <w:pPr>
        <w:numPr>
          <w:ilvl w:val="2"/>
          <w:numId w:val="1011"/>
        </w:numPr>
      </w:pPr>
      <w:r>
        <w:t xml:space="preserve">Drug abuse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Admission day (Weekend vs Weekday)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were summarized and stratified by 90-day readmission status to compare patients who were readmitted versus those who were not.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With 90-day readmission</w:t>
      </w:r>
    </w:p>
    <w:p>
      <w:pPr>
        <w:numPr>
          <w:ilvl w:val="3"/>
          <w:numId w:val="1017"/>
        </w:numPr>
      </w:pPr>
      <w:r>
        <w:t xml:space="preserve">Without readmission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9"/>
        </w:numPr>
      </w:pPr>
      <w:r>
        <w:t xml:space="preserve">Readmission (n): 4175</w:t>
      </w:r>
    </w:p>
    <w:p>
      <w:pPr>
        <w:numPr>
          <w:ilvl w:val="0"/>
          <w:numId w:val="1019"/>
        </w:numPr>
      </w:pPr>
      <w:r>
        <w:t xml:space="preserve">Readmission Rate (%): 19.49%</w:t>
      </w:r>
    </w:p>
    <w:p>
      <w:pPr>
        <w:numPr>
          <w:ilvl w:val="0"/>
          <w:numId w:val="1019"/>
        </w:numPr>
      </w:pPr>
      <w:r>
        <w:t xml:space="preserve">Readmission Rate (95% CI): 18.56% to 20.42%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0"/>
        </w:numPr>
      </w:pPr>
      <w:r>
        <w:t xml:space="preserve">Deaths (n): 2692</w:t>
      </w:r>
    </w:p>
    <w:p>
      <w:pPr>
        <w:numPr>
          <w:ilvl w:val="0"/>
          <w:numId w:val="1020"/>
        </w:numPr>
      </w:pPr>
      <w:r>
        <w:t xml:space="preserve">Death Rate (%): 12.57%</w:t>
      </w:r>
    </w:p>
    <w:p>
      <w:pPr>
        <w:numPr>
          <w:ilvl w:val="0"/>
          <w:numId w:val="1020"/>
        </w:numPr>
      </w:pPr>
      <w:r>
        <w:t xml:space="preserve">Death Rate (95% CI): 11.74% to 13.4%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Deaths (n): 135</w:t>
      </w:r>
    </w:p>
    <w:p>
      <w:pPr>
        <w:numPr>
          <w:ilvl w:val="0"/>
          <w:numId w:val="1021"/>
        </w:numPr>
      </w:pPr>
      <w:r>
        <w:t xml:space="preserve">Death Rate (%): 3.26%</w:t>
      </w:r>
    </w:p>
    <w:p>
      <w:pPr>
        <w:numPr>
          <w:ilvl w:val="0"/>
          <w:numId w:val="1021"/>
        </w:numPr>
      </w:pPr>
      <w:r>
        <w:t xml:space="preserve">Death Rate (95% CI): 2.46% to 4.06%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Mean Length of Stay (days): 9.61</w:t>
      </w:r>
    </w:p>
    <w:p>
      <w:pPr>
        <w:numPr>
          <w:ilvl w:val="0"/>
          <w:numId w:val="1022"/>
        </w:numPr>
      </w:pPr>
      <w:r>
        <w:t xml:space="preserve">Mean Length of Stay (95% CI): 9.32 to 9.89</w:t>
      </w:r>
    </w:p>
    <w:p>
      <w:pPr>
        <w:numPr>
          <w:ilvl w:val="0"/>
          <w:numId w:val="1022"/>
        </w:numPr>
      </w:pPr>
      <w:r>
        <w:t xml:space="preserve">Mean Charge ($): 230667</w:t>
      </w:r>
    </w:p>
    <w:p>
      <w:pPr>
        <w:numPr>
          <w:ilvl w:val="0"/>
          <w:numId w:val="1022"/>
        </w:numPr>
      </w:pPr>
      <w:r>
        <w:t xml:space="preserve">Mean Charge (95% CI): 216382 to 244952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Mean Length of Stay (days): 6.22</w:t>
      </w:r>
    </w:p>
    <w:p>
      <w:pPr>
        <w:numPr>
          <w:ilvl w:val="0"/>
          <w:numId w:val="1023"/>
        </w:numPr>
      </w:pPr>
      <w:r>
        <w:t xml:space="preserve">Mean Length of Stay (95% CI): 5.81 to 6.64</w:t>
      </w:r>
    </w:p>
    <w:p>
      <w:pPr>
        <w:numPr>
          <w:ilvl w:val="0"/>
          <w:numId w:val="1023"/>
        </w:numPr>
      </w:pPr>
      <w:r>
        <w:t xml:space="preserve">Mean Charge ($): 105913</w:t>
      </w:r>
    </w:p>
    <w:p>
      <w:pPr>
        <w:numPr>
          <w:ilvl w:val="0"/>
          <w:numId w:val="1023"/>
        </w:numPr>
      </w:pPr>
      <w:r>
        <w:t xml:space="preserve">Mean Charge (95% CI): 95297 to 116530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21,421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17,246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13,378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2,628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10,884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8,761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2,021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5,439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5,127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16,455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16,663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13,737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10,933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4,404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17,565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14,101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3,463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183934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18393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Burden and predictors of 90-day readmission in patients with aortic dissection</dc:title>
  <dc:creator>Eliza Aisha; Adeena Jamil</dc:creator>
  <cp:keywords/>
  <dcterms:created xsi:type="dcterms:W3CDTF">2025-08-01T18:14:53Z</dcterms:created>
  <dcterms:modified xsi:type="dcterms:W3CDTF">2025-08-01T18:14:53Z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2025_June_NRD_A15</vt:lpwstr>
  </property>
  <property fmtid="{D5CDD505-2E9C-101B-9397-08002B2CF9AE}" pid="12" name="toc-title">
    <vt:lpwstr>Table of contents</vt:lpwstr>
  </property>
</Properties>
</file>