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Burden and predictors of 90-day readmission in patients with aortic dissection</w:t>
      </w:r>
    </w:p>
    <w:p>
      <w:pPr>
        <w:pStyle w:val="Subtitle"/>
      </w:pPr>
      <w:r>
        <w:t xml:space="preserve">2025_June_NRD_A15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Carroll et al., 2023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90-day all-cause hospital readmission among adults hospitalized with sepsis and comorbid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thoracic or thoracoabdominal aortic dissection, identified using ICD-10-CM codes: I7101 and I7103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90-day follow-up period</w:t>
      </w:r>
    </w:p>
    <w:p>
      <w:pPr>
        <w:numPr>
          <w:ilvl w:val="1"/>
          <w:numId w:val="1003"/>
        </w:numPr>
      </w:pPr>
      <w:r>
        <w:t xml:space="preserve">Complete data on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Outcomes:</w:t>
      </w:r>
    </w:p>
    <w:p>
      <w:pPr>
        <w:pStyle w:val="Compact"/>
        <w:numPr>
          <w:ilvl w:val="2"/>
          <w:numId w:val="1005"/>
        </w:numPr>
      </w:pPr>
      <w:r>
        <w:t xml:space="preserve">Predictors of 90-day readmission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aortic dissection care.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9"/>
        </w:numPr>
      </w:pPr>
      <w:r>
        <w:t xml:space="preserve">Demographic &amp; Socioeconomic Factors:</w:t>
      </w:r>
    </w:p>
    <w:p>
      <w:pPr>
        <w:numPr>
          <w:ilvl w:val="2"/>
          <w:numId w:val="1010"/>
        </w:numPr>
      </w:pPr>
      <w:r>
        <w:t xml:space="preserve">Age (categorized: 18–49, 50–64, 65–79, 80+)</w:t>
      </w:r>
    </w:p>
    <w:p>
      <w:pPr>
        <w:numPr>
          <w:ilvl w:val="2"/>
          <w:numId w:val="1010"/>
        </w:numPr>
      </w:pPr>
      <w:r>
        <w:t xml:space="preserve">Sex (FEMALE; ref = Male)</w:t>
      </w:r>
    </w:p>
    <w:p>
      <w:pPr>
        <w:numPr>
          <w:ilvl w:val="2"/>
          <w:numId w:val="1010"/>
        </w:numPr>
      </w:pPr>
      <w:r>
        <w:t xml:space="preserve">Primary expected payer (PAY1; Medicare, Medicaid, Private, Other)</w:t>
      </w:r>
    </w:p>
    <w:p>
      <w:pPr>
        <w:numPr>
          <w:ilvl w:val="2"/>
          <w:numId w:val="1010"/>
        </w:numPr>
      </w:pPr>
      <w:r>
        <w:t xml:space="preserve">ZIP-based median income quartile</w:t>
      </w:r>
    </w:p>
    <w:p>
      <w:pPr>
        <w:numPr>
          <w:ilvl w:val="1"/>
          <w:numId w:val="1009"/>
        </w:numPr>
      </w:pPr>
      <w:r>
        <w:t xml:space="preserve">Clinical Characteristics:</w:t>
      </w:r>
    </w:p>
    <w:p>
      <w:pPr>
        <w:numPr>
          <w:ilvl w:val="2"/>
          <w:numId w:val="1011"/>
        </w:numPr>
      </w:pPr>
      <w:r>
        <w:t xml:space="preserve">Hypertension</w:t>
      </w:r>
    </w:p>
    <w:p>
      <w:pPr>
        <w:numPr>
          <w:ilvl w:val="2"/>
          <w:numId w:val="1011"/>
        </w:numPr>
      </w:pPr>
      <w:r>
        <w:t xml:space="preserve">Diabetes</w:t>
      </w:r>
    </w:p>
    <w:p>
      <w:pPr>
        <w:numPr>
          <w:ilvl w:val="2"/>
          <w:numId w:val="1011"/>
        </w:numPr>
      </w:pPr>
      <w:r>
        <w:t xml:space="preserve">Hyperlipidemia</w:t>
      </w:r>
    </w:p>
    <w:p>
      <w:pPr>
        <w:numPr>
          <w:ilvl w:val="2"/>
          <w:numId w:val="1011"/>
        </w:numPr>
      </w:pPr>
      <w:r>
        <w:t xml:space="preserve">Chronic Kidney Disease</w:t>
      </w:r>
    </w:p>
    <w:p>
      <w:pPr>
        <w:numPr>
          <w:ilvl w:val="2"/>
          <w:numId w:val="1011"/>
        </w:numPr>
      </w:pPr>
      <w:r>
        <w:t xml:space="preserve">Congestive heart failure</w:t>
      </w:r>
    </w:p>
    <w:p>
      <w:pPr>
        <w:numPr>
          <w:ilvl w:val="2"/>
          <w:numId w:val="1011"/>
        </w:numPr>
      </w:pPr>
      <w:r>
        <w:t xml:space="preserve">Valvular disease</w:t>
      </w:r>
    </w:p>
    <w:p>
      <w:pPr>
        <w:numPr>
          <w:ilvl w:val="2"/>
          <w:numId w:val="1011"/>
        </w:numPr>
      </w:pPr>
      <w:r>
        <w:t xml:space="preserve">Chronic pulmonary disease</w:t>
      </w:r>
    </w:p>
    <w:p>
      <w:pPr>
        <w:numPr>
          <w:ilvl w:val="2"/>
          <w:numId w:val="1011"/>
        </w:numPr>
      </w:pPr>
      <w:r>
        <w:t xml:space="preserve">Renal failure</w:t>
      </w:r>
    </w:p>
    <w:p>
      <w:pPr>
        <w:numPr>
          <w:ilvl w:val="2"/>
          <w:numId w:val="1011"/>
        </w:numPr>
      </w:pPr>
      <w:r>
        <w:t xml:space="preserve">Coagulopathy</w:t>
      </w:r>
    </w:p>
    <w:p>
      <w:pPr>
        <w:numPr>
          <w:ilvl w:val="2"/>
          <w:numId w:val="1011"/>
        </w:numPr>
      </w:pPr>
      <w:r>
        <w:t xml:space="preserve">Obesity</w:t>
      </w:r>
    </w:p>
    <w:p>
      <w:pPr>
        <w:numPr>
          <w:ilvl w:val="2"/>
          <w:numId w:val="1011"/>
        </w:numPr>
      </w:pPr>
      <w:r>
        <w:t xml:space="preserve">Fluid and electrolyte imbalance</w:t>
      </w:r>
    </w:p>
    <w:p>
      <w:pPr>
        <w:numPr>
          <w:ilvl w:val="2"/>
          <w:numId w:val="1011"/>
        </w:numPr>
      </w:pPr>
      <w:r>
        <w:t xml:space="preserve">Drug abuse</w:t>
      </w:r>
    </w:p>
    <w:p>
      <w:pPr>
        <w:numPr>
          <w:ilvl w:val="1"/>
          <w:numId w:val="1009"/>
        </w:numPr>
      </w:pPr>
      <w:r>
        <w:t xml:space="preserve">Hospital Characteristics:</w:t>
      </w:r>
    </w:p>
    <w:p>
      <w:pPr>
        <w:numPr>
          <w:ilvl w:val="2"/>
          <w:numId w:val="1012"/>
        </w:numPr>
      </w:pPr>
      <w:r>
        <w:t xml:space="preserve">Hospital bed size (Small, Medium, Large)</w:t>
      </w:r>
    </w:p>
    <w:p>
      <w:pPr>
        <w:numPr>
          <w:ilvl w:val="2"/>
          <w:numId w:val="1012"/>
        </w:numPr>
      </w:pPr>
      <w:r>
        <w:t xml:space="preserve">Admission day (Weekend vs Weekday)</w:t>
      </w:r>
    </w:p>
    <w:p>
      <w:pPr>
        <w:numPr>
          <w:ilvl w:val="1"/>
          <w:numId w:val="1009"/>
        </w:numPr>
      </w:pPr>
      <w:r>
        <w:t xml:space="preserve">Disposition and Severity:</w:t>
      </w:r>
    </w:p>
    <w:p>
      <w:pPr>
        <w:numPr>
          <w:ilvl w:val="2"/>
          <w:numId w:val="1013"/>
        </w:numPr>
      </w:pPr>
      <w:r>
        <w:t xml:space="preserve">Discharge disposition</w:t>
      </w:r>
    </w:p>
    <w:p>
      <w:pPr>
        <w:numPr>
          <w:ilvl w:val="2"/>
          <w:numId w:val="1013"/>
        </w:numPr>
      </w:pPr>
      <w:r>
        <w:t xml:space="preserve">Number of comorbidities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5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4"/>
        </w:numPr>
      </w:pPr>
      <w:r>
        <w:t xml:space="preserve">Descriptive Statistics:</w:t>
      </w:r>
    </w:p>
    <w:p>
      <w:pPr>
        <w:numPr>
          <w:ilvl w:val="2"/>
          <w:numId w:val="1016"/>
        </w:numPr>
      </w:pPr>
      <w:r>
        <w:t xml:space="preserve">Weighted baseline characteristics of index hospitalizations were summarized and stratified by 90-day readmission status to compare patients who were readmitted versus those who were not.</w:t>
      </w:r>
    </w:p>
    <w:p>
      <w:pPr>
        <w:numPr>
          <w:ilvl w:val="2"/>
          <w:numId w:val="1016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7"/>
        </w:numPr>
      </w:pPr>
      <w:r>
        <w:t xml:space="preserve">With 90-day readmission</w:t>
      </w:r>
    </w:p>
    <w:p>
      <w:pPr>
        <w:numPr>
          <w:ilvl w:val="3"/>
          <w:numId w:val="1017"/>
        </w:numPr>
      </w:pPr>
      <w:r>
        <w:t xml:space="preserve">Without readmission</w:t>
      </w:r>
    </w:p>
    <w:p>
      <w:pPr>
        <w:numPr>
          <w:ilvl w:val="2"/>
          <w:numId w:val="1016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4"/>
        </w:numPr>
      </w:pPr>
      <w:r>
        <w:t xml:space="preserve">Multivariable Regression:</w:t>
      </w:r>
    </w:p>
    <w:p>
      <w:pPr>
        <w:numPr>
          <w:ilvl w:val="2"/>
          <w:numId w:val="1018"/>
        </w:numPr>
      </w:pPr>
      <w:r>
        <w:t xml:space="preserve">A survey-weighted logistic regression modeled predictors of 90-day readmission.</w:t>
      </w:r>
    </w:p>
    <w:p>
      <w:pPr>
        <w:numPr>
          <w:ilvl w:val="2"/>
          <w:numId w:val="1018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8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14"/>
        </w:numPr>
      </w:pPr>
      <w:r>
        <w:t xml:space="preserve">The ten most common principle diagnoses for readmission were reported according to decreasing prevalence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9"/>
        </w:numPr>
      </w:pPr>
      <w:r>
        <w:t xml:space="preserve">Readmission (n): 4175</w:t>
      </w:r>
    </w:p>
    <w:p>
      <w:pPr>
        <w:numPr>
          <w:ilvl w:val="0"/>
          <w:numId w:val="1019"/>
        </w:numPr>
      </w:pPr>
      <w:r>
        <w:t xml:space="preserve">Readmission Rate (%): 19.49%</w:t>
      </w:r>
    </w:p>
    <w:p>
      <w:pPr>
        <w:numPr>
          <w:ilvl w:val="0"/>
          <w:numId w:val="1019"/>
        </w:numPr>
      </w:pPr>
      <w:r>
        <w:t xml:space="preserve">Readmission Rate (95% CI): 18.56% to 20.42%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0"/>
        </w:numPr>
      </w:pPr>
      <w:r>
        <w:t xml:space="preserve">Deaths (n): 2692</w:t>
      </w:r>
    </w:p>
    <w:p>
      <w:pPr>
        <w:numPr>
          <w:ilvl w:val="0"/>
          <w:numId w:val="1020"/>
        </w:numPr>
      </w:pPr>
      <w:r>
        <w:t xml:space="preserve">Death Rate (%): 12.57%</w:t>
      </w:r>
    </w:p>
    <w:p>
      <w:pPr>
        <w:numPr>
          <w:ilvl w:val="0"/>
          <w:numId w:val="1020"/>
        </w:numPr>
      </w:pPr>
      <w:r>
        <w:t xml:space="preserve">Death Rate (95% CI): 11.74% to 13.4%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1"/>
        </w:numPr>
      </w:pPr>
      <w:r>
        <w:t xml:space="preserve">Deaths (n): 135</w:t>
      </w:r>
    </w:p>
    <w:p>
      <w:pPr>
        <w:numPr>
          <w:ilvl w:val="0"/>
          <w:numId w:val="1021"/>
        </w:numPr>
      </w:pPr>
      <w:r>
        <w:t xml:space="preserve">Death Rate (%): 3.26%</w:t>
      </w:r>
    </w:p>
    <w:p>
      <w:pPr>
        <w:numPr>
          <w:ilvl w:val="0"/>
          <w:numId w:val="1021"/>
        </w:numPr>
      </w:pPr>
      <w:r>
        <w:t xml:space="preserve">Death Rate (95% CI): 2.46% to 4.06%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Mean Length of Stay (days): 9.61</w:t>
      </w:r>
    </w:p>
    <w:p>
      <w:pPr>
        <w:numPr>
          <w:ilvl w:val="0"/>
          <w:numId w:val="1022"/>
        </w:numPr>
      </w:pPr>
      <w:r>
        <w:t xml:space="preserve">Mean Length of Stay (95% CI): 9.32 to 9.89</w:t>
      </w:r>
    </w:p>
    <w:p>
      <w:pPr>
        <w:numPr>
          <w:ilvl w:val="0"/>
          <w:numId w:val="1022"/>
        </w:numPr>
      </w:pPr>
      <w:r>
        <w:t xml:space="preserve">Mean Charge ($): 230667</w:t>
      </w:r>
    </w:p>
    <w:p>
      <w:pPr>
        <w:numPr>
          <w:ilvl w:val="0"/>
          <w:numId w:val="1022"/>
        </w:numPr>
      </w:pPr>
      <w:r>
        <w:t xml:space="preserve">Mean Charge (95% CI): 216382 to 244952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Mean Length of Stay (days): 6.22</w:t>
      </w:r>
    </w:p>
    <w:p>
      <w:pPr>
        <w:numPr>
          <w:ilvl w:val="0"/>
          <w:numId w:val="1023"/>
        </w:numPr>
      </w:pPr>
      <w:r>
        <w:t xml:space="preserve">Mean Length of Stay (95% CI): 5.81 to 6.64</w:t>
      </w:r>
    </w:p>
    <w:p>
      <w:pPr>
        <w:numPr>
          <w:ilvl w:val="0"/>
          <w:numId w:val="1023"/>
        </w:numPr>
      </w:pPr>
      <w:r>
        <w:t xml:space="preserve">Mean Charge ($): 105913</w:t>
      </w:r>
    </w:p>
    <w:p>
      <w:pPr>
        <w:numPr>
          <w:ilvl w:val="0"/>
          <w:numId w:val="1023"/>
        </w:numPr>
      </w:pPr>
      <w:r>
        <w:t xml:space="preserve">Mean Charge (95% CI): 95297 to 116530</w:t>
      </w:r>
    </w:p>
    <w:bookmarkEnd w:id="24"/>
    <w:bookmarkEnd w:id="25"/>
    <w:bookmarkStart w:id="26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21,421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17,246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90-day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4,175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13,378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10,749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2,628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8,044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10,884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8,761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2,021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1,628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5,103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5,439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5,127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3,262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16,455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853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16,663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3,246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2,977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6,313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13,737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10,933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8,795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7,091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1,704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3,531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4,404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3,383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17,565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14,101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3,463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6,591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1,505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1,161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90-Day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183934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18393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Burden and predictors of 90-day readmission in patients with aortic dissection</dc:title>
  <dc:creator>Eliza Aisha; Adeena Jamil</dc:creator>
  <cp:keywords/>
  <dcterms:created xsi:type="dcterms:W3CDTF">2025-08-01T17:18:13Z</dcterms:created>
  <dcterms:modified xsi:type="dcterms:W3CDTF">2025-08-01T17:18:13Z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2025_June_NRD_A15</vt:lpwstr>
  </property>
  <property fmtid="{D5CDD505-2E9C-101B-9397-08002B2CF9AE}" pid="12" name="toc-title">
    <vt:lpwstr>Table of contents</vt:lpwstr>
  </property>
</Properties>
</file>