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Burden and predictors of 30-day readmission in patients with aortic dissection (Stratified by Type A vs Type B)</w:t>
      </w:r>
    </w:p>
    <w:p>
      <w:pPr>
        <w:pStyle w:val="Subtitle"/>
      </w:pPr>
      <w:r>
        <w:t xml:space="preserve">2025_June_NRD_A15</w:t>
      </w:r>
    </w:p>
    <w:p>
      <w:pPr>
        <w:pStyle w:val="Author"/>
      </w:pPr>
      <w:r>
        <w:t xml:space="preserve">Eliza Aisha</w:t>
      </w:r>
    </w:p>
    <w:p>
      <w:pPr>
        <w:pStyle w:val="Author"/>
      </w:pPr>
      <w:r>
        <w:t xml:space="preserve">Adeena Jamil</w:t>
      </w:r>
    </w:p>
    <w:bookmarkStart w:id="21" w:name="preamble"/>
    <w:p>
      <w:pPr>
        <w:pStyle w:val="Heading2"/>
      </w:pPr>
      <w:r>
        <w:t xml:space="preserve">Preamble: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Reference Studies:</w:t>
      </w:r>
    </w:p>
    <w:p>
      <w:pPr>
        <w:pStyle w:val="Compact"/>
        <w:numPr>
          <w:ilvl w:val="1"/>
          <w:numId w:val="1002"/>
        </w:numPr>
      </w:pPr>
      <w:hyperlink r:id="rId20">
        <w:r>
          <w:rPr>
            <w:rStyle w:val="Hyperlink"/>
          </w:rPr>
          <w:t xml:space="preserve">Carroll et al., 2023</w:t>
        </w:r>
      </w:hyperlink>
    </w:p>
    <w:p>
      <w:pPr>
        <w:numPr>
          <w:ilvl w:val="0"/>
          <w:numId w:val="1001"/>
        </w:numPr>
      </w:pPr>
      <w:r>
        <w:rPr>
          <w:b/>
          <w:bCs/>
        </w:rPr>
        <w:t xml:space="preserve">Study Objective:</w:t>
      </w:r>
    </w:p>
    <w:p>
      <w:pPr>
        <w:numPr>
          <w:ilvl w:val="0"/>
          <w:numId w:val="1000"/>
        </w:numPr>
      </w:pPr>
      <w:r>
        <w:t xml:space="preserve">To identify patient- and hospital-level predictors of 30-day all-cause hospital readmission among adults hospitalized for aortic dissection using a nationally representative dataset. This study also evaluates the clinical and economic burden of readmission in this high-risk population, including its associations with in-hospital mortality, length of stay (LOS), and hospital charges.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Data Source:</w:t>
      </w:r>
    </w:p>
    <w:p>
      <w:pPr>
        <w:numPr>
          <w:ilvl w:val="0"/>
          <w:numId w:val="1000"/>
        </w:numPr>
      </w:pPr>
      <w:r>
        <w:t xml:space="preserve">A retrospective cohort study using the 2016–2017 Nationwide Readmissions Database (NRD), developed by the Healthcare Cost and Utilization Project (HCUP). The NRD enables tracking of individual patients across hospitalizations within a given year via synthetic identifiers, capturing discharges from U.S. community hospitals and supporting survey-weighted national estimates through complex sampling design.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Cohort Definition:</w:t>
      </w:r>
    </w:p>
    <w:p>
      <w:pPr>
        <w:numPr>
          <w:ilvl w:val="0"/>
          <w:numId w:val="1000"/>
        </w:numPr>
      </w:pPr>
      <w:r>
        <w:t xml:space="preserve">Inclusion criteria:</w:t>
      </w:r>
    </w:p>
    <w:p>
      <w:pPr>
        <w:numPr>
          <w:ilvl w:val="1"/>
          <w:numId w:val="1003"/>
        </w:numPr>
      </w:pPr>
      <w:r>
        <w:t xml:space="preserve">Adults aged ≥ 18 years</w:t>
      </w:r>
    </w:p>
    <w:p>
      <w:pPr>
        <w:numPr>
          <w:ilvl w:val="1"/>
          <w:numId w:val="1003"/>
        </w:numPr>
      </w:pPr>
      <w:r>
        <w:t xml:space="preserve">Principal diagnosis of aortic dissection, identified using ICD-10-CM codes: I71.0</w:t>
      </w:r>
    </w:p>
    <w:p>
      <w:pPr>
        <w:numPr>
          <w:ilvl w:val="1"/>
          <w:numId w:val="1003"/>
        </w:numPr>
      </w:pPr>
      <w:r>
        <w:t xml:space="preserve">Index discharge by the end of November to allow for a complete 30-day follow-up period</w:t>
      </w:r>
    </w:p>
    <w:p>
      <w:pPr>
        <w:numPr>
          <w:ilvl w:val="1"/>
          <w:numId w:val="1003"/>
        </w:numPr>
      </w:pPr>
      <w:r>
        <w:t xml:space="preserve">Complete data on NRD_DAYSTOEVENT, required to compute discharge dates</w:t>
      </w:r>
    </w:p>
    <w:p>
      <w:pPr>
        <w:numPr>
          <w:ilvl w:val="0"/>
          <w:numId w:val="1000"/>
        </w:numPr>
      </w:pPr>
      <w:r>
        <w:t xml:space="preserve">Exclusion criteria:</w:t>
      </w:r>
    </w:p>
    <w:p>
      <w:pPr>
        <w:pStyle w:val="Compact"/>
        <w:numPr>
          <w:ilvl w:val="1"/>
          <w:numId w:val="1004"/>
        </w:numPr>
      </w:pPr>
      <w:r>
        <w:t xml:space="preserve">Patients undergoing both, type A aortic dissection repair and TEVAR</w:t>
      </w:r>
    </w:p>
    <w:p>
      <w:pPr>
        <w:numPr>
          <w:ilvl w:val="0"/>
          <w:numId w:val="1000"/>
        </w:numPr>
      </w:pPr>
      <w:r>
        <w:t xml:space="preserve">Type A aortic dissection:</w:t>
      </w:r>
    </w:p>
    <w:p>
      <w:pPr>
        <w:pStyle w:val="Compact"/>
        <w:numPr>
          <w:ilvl w:val="1"/>
          <w:numId w:val="1005"/>
        </w:numPr>
      </w:pPr>
      <w:r>
        <w:t xml:space="preserve">Aortic dissection + ICD-10 PCS code indicative of type A aortic dissection repair or cardiac procedures other than TBAD repair</w:t>
      </w:r>
    </w:p>
    <w:p>
      <w:pPr>
        <w:numPr>
          <w:ilvl w:val="0"/>
          <w:numId w:val="1000"/>
        </w:numPr>
      </w:pPr>
      <w:r>
        <w:t xml:space="preserve">Type B aortic dissection were stratified into:</w:t>
      </w:r>
    </w:p>
    <w:p>
      <w:pPr>
        <w:numPr>
          <w:ilvl w:val="1"/>
          <w:numId w:val="1006"/>
        </w:numPr>
      </w:pPr>
      <w:r>
        <w:t xml:space="preserve">Those undergoing TEVAR</w:t>
      </w:r>
    </w:p>
    <w:p>
      <w:pPr>
        <w:numPr>
          <w:ilvl w:val="1"/>
          <w:numId w:val="1006"/>
        </w:numPr>
      </w:pPr>
      <w:r>
        <w:t xml:space="preserve">Those undergoing open surgical repair</w:t>
      </w:r>
    </w:p>
    <w:p>
      <w:pPr>
        <w:numPr>
          <w:ilvl w:val="1"/>
          <w:numId w:val="1006"/>
        </w:numPr>
      </w:pPr>
      <w:r>
        <w:t xml:space="preserve">Those that were managed medically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Outcomes of Interest:</w:t>
      </w:r>
    </w:p>
    <w:p>
      <w:pPr>
        <w:numPr>
          <w:ilvl w:val="1"/>
          <w:numId w:val="1007"/>
        </w:numPr>
      </w:pPr>
      <w:r>
        <w:t xml:space="preserve">Primary Outcomes:</w:t>
      </w:r>
    </w:p>
    <w:p>
      <w:pPr>
        <w:pStyle w:val="Compact"/>
        <w:numPr>
          <w:ilvl w:val="2"/>
          <w:numId w:val="1008"/>
        </w:numPr>
      </w:pPr>
      <w:r>
        <w:t xml:space="preserve">Predictors of 30-day readmission</w:t>
      </w:r>
    </w:p>
    <w:p>
      <w:pPr>
        <w:numPr>
          <w:ilvl w:val="1"/>
          <w:numId w:val="1007"/>
        </w:numPr>
      </w:pPr>
      <w:r>
        <w:t xml:space="preserve">Secondary Outcomes:</w:t>
      </w:r>
    </w:p>
    <w:p>
      <w:pPr>
        <w:numPr>
          <w:ilvl w:val="2"/>
          <w:numId w:val="1009"/>
        </w:numPr>
      </w:pPr>
      <w:r>
        <w:t xml:space="preserve">In-hospital mortality (binary)</w:t>
      </w:r>
    </w:p>
    <w:p>
      <w:pPr>
        <w:numPr>
          <w:ilvl w:val="2"/>
          <w:numId w:val="1009"/>
        </w:numPr>
      </w:pPr>
      <w:r>
        <w:t xml:space="preserve">Length of stay (LOS, in days)</w:t>
      </w:r>
    </w:p>
    <w:p>
      <w:pPr>
        <w:numPr>
          <w:ilvl w:val="2"/>
          <w:numId w:val="1009"/>
        </w:numPr>
      </w:pPr>
      <w:r>
        <w:t xml:space="preserve">Total hospitalization charges (inflation-adjusted to 2017 USD)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Outcome Definitions:</w:t>
      </w:r>
    </w:p>
    <w:p>
      <w:pPr>
        <w:numPr>
          <w:ilvl w:val="1"/>
          <w:numId w:val="1010"/>
        </w:numPr>
      </w:pPr>
      <w:r>
        <w:t xml:space="preserve">Readmission:</w:t>
      </w:r>
    </w:p>
    <w:p>
      <w:pPr>
        <w:numPr>
          <w:ilvl w:val="2"/>
          <w:numId w:val="1011"/>
        </w:numPr>
      </w:pPr>
      <w:r>
        <w:t xml:space="preserve">Defined using NRD’s linkage variables. Readmissions were identified only among patients with qualifying index events.</w:t>
      </w:r>
    </w:p>
    <w:p>
      <w:pPr>
        <w:numPr>
          <w:ilvl w:val="2"/>
          <w:numId w:val="1011"/>
        </w:numPr>
      </w:pPr>
      <w:r>
        <w:t xml:space="preserve">Trauma-related hospitalizations were excluded only from the readmission pool to avoid injury-related returns unrelated to aortic dissection care.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Covariates:</w:t>
      </w:r>
    </w:p>
    <w:p>
      <w:pPr>
        <w:numPr>
          <w:ilvl w:val="1"/>
          <w:numId w:val="1012"/>
        </w:numPr>
      </w:pPr>
      <w:r>
        <w:t xml:space="preserve">Demographic &amp; Socioeconomic Factors:</w:t>
      </w:r>
    </w:p>
    <w:p>
      <w:pPr>
        <w:numPr>
          <w:ilvl w:val="2"/>
          <w:numId w:val="1013"/>
        </w:numPr>
      </w:pPr>
      <w:r>
        <w:t xml:space="preserve">Age (categorized: 18–49, 50–64, 65–79, 80+)</w:t>
      </w:r>
    </w:p>
    <w:p>
      <w:pPr>
        <w:numPr>
          <w:ilvl w:val="2"/>
          <w:numId w:val="1013"/>
        </w:numPr>
      </w:pPr>
      <w:r>
        <w:t xml:space="preserve">Sex (FEMALE; ref = Male)</w:t>
      </w:r>
    </w:p>
    <w:p>
      <w:pPr>
        <w:numPr>
          <w:ilvl w:val="2"/>
          <w:numId w:val="1013"/>
        </w:numPr>
      </w:pPr>
      <w:r>
        <w:t xml:space="preserve">Primary expected payer (PAY1; Medicare, Medicaid, Private, Other)</w:t>
      </w:r>
    </w:p>
    <w:p>
      <w:pPr>
        <w:numPr>
          <w:ilvl w:val="2"/>
          <w:numId w:val="1013"/>
        </w:numPr>
      </w:pPr>
      <w:r>
        <w:t xml:space="preserve">ZIP-based median income quartile</w:t>
      </w:r>
    </w:p>
    <w:p>
      <w:pPr>
        <w:numPr>
          <w:ilvl w:val="1"/>
          <w:numId w:val="1012"/>
        </w:numPr>
      </w:pPr>
      <w:r>
        <w:t xml:space="preserve">Clinical Characteristics:</w:t>
      </w:r>
    </w:p>
    <w:p>
      <w:pPr>
        <w:numPr>
          <w:ilvl w:val="2"/>
          <w:numId w:val="1014"/>
        </w:numPr>
      </w:pPr>
      <w:r>
        <w:t xml:space="preserve">Hypertension</w:t>
      </w:r>
    </w:p>
    <w:p>
      <w:pPr>
        <w:numPr>
          <w:ilvl w:val="2"/>
          <w:numId w:val="1014"/>
        </w:numPr>
      </w:pPr>
      <w:r>
        <w:t xml:space="preserve">Diabetes</w:t>
      </w:r>
    </w:p>
    <w:p>
      <w:pPr>
        <w:numPr>
          <w:ilvl w:val="2"/>
          <w:numId w:val="1014"/>
        </w:numPr>
      </w:pPr>
      <w:r>
        <w:t xml:space="preserve">Hyperlipidemia</w:t>
      </w:r>
    </w:p>
    <w:p>
      <w:pPr>
        <w:numPr>
          <w:ilvl w:val="2"/>
          <w:numId w:val="1014"/>
        </w:numPr>
      </w:pPr>
      <w:r>
        <w:t xml:space="preserve">Chronic Kidney Disease</w:t>
      </w:r>
    </w:p>
    <w:p>
      <w:pPr>
        <w:numPr>
          <w:ilvl w:val="2"/>
          <w:numId w:val="1014"/>
        </w:numPr>
      </w:pPr>
      <w:r>
        <w:t xml:space="preserve">Congestive heart failure</w:t>
      </w:r>
    </w:p>
    <w:p>
      <w:pPr>
        <w:numPr>
          <w:ilvl w:val="2"/>
          <w:numId w:val="1014"/>
        </w:numPr>
      </w:pPr>
      <w:r>
        <w:t xml:space="preserve">Valvular disease</w:t>
      </w:r>
    </w:p>
    <w:p>
      <w:pPr>
        <w:numPr>
          <w:ilvl w:val="2"/>
          <w:numId w:val="1014"/>
        </w:numPr>
      </w:pPr>
      <w:r>
        <w:t xml:space="preserve">Chronic pulmonary disease</w:t>
      </w:r>
    </w:p>
    <w:p>
      <w:pPr>
        <w:numPr>
          <w:ilvl w:val="2"/>
          <w:numId w:val="1014"/>
        </w:numPr>
      </w:pPr>
      <w:r>
        <w:t xml:space="preserve">Renal failure</w:t>
      </w:r>
    </w:p>
    <w:p>
      <w:pPr>
        <w:numPr>
          <w:ilvl w:val="2"/>
          <w:numId w:val="1014"/>
        </w:numPr>
      </w:pPr>
      <w:r>
        <w:t xml:space="preserve">Coagulopathy</w:t>
      </w:r>
    </w:p>
    <w:p>
      <w:pPr>
        <w:numPr>
          <w:ilvl w:val="2"/>
          <w:numId w:val="1014"/>
        </w:numPr>
      </w:pPr>
      <w:r>
        <w:t xml:space="preserve">Obesity</w:t>
      </w:r>
    </w:p>
    <w:p>
      <w:pPr>
        <w:numPr>
          <w:ilvl w:val="2"/>
          <w:numId w:val="1014"/>
        </w:numPr>
      </w:pPr>
      <w:r>
        <w:t xml:space="preserve">Fluid and electrolyte imbalance</w:t>
      </w:r>
    </w:p>
    <w:p>
      <w:pPr>
        <w:numPr>
          <w:ilvl w:val="2"/>
          <w:numId w:val="1014"/>
        </w:numPr>
      </w:pPr>
      <w:r>
        <w:t xml:space="preserve">Drug abuse</w:t>
      </w:r>
    </w:p>
    <w:p>
      <w:pPr>
        <w:numPr>
          <w:ilvl w:val="1"/>
          <w:numId w:val="1012"/>
        </w:numPr>
      </w:pPr>
      <w:r>
        <w:t xml:space="preserve">Hospital Characteristics:</w:t>
      </w:r>
    </w:p>
    <w:p>
      <w:pPr>
        <w:numPr>
          <w:ilvl w:val="2"/>
          <w:numId w:val="1015"/>
        </w:numPr>
      </w:pPr>
      <w:r>
        <w:t xml:space="preserve">Hospital bed size (Small, Medium, Large)</w:t>
      </w:r>
    </w:p>
    <w:p>
      <w:pPr>
        <w:numPr>
          <w:ilvl w:val="2"/>
          <w:numId w:val="1015"/>
        </w:numPr>
      </w:pPr>
      <w:r>
        <w:t xml:space="preserve">Admission day (Weekend vs Weekday)</w:t>
      </w:r>
    </w:p>
    <w:p>
      <w:pPr>
        <w:numPr>
          <w:ilvl w:val="1"/>
          <w:numId w:val="1012"/>
        </w:numPr>
      </w:pPr>
      <w:r>
        <w:t xml:space="preserve">Disposition and Severity:</w:t>
      </w:r>
    </w:p>
    <w:p>
      <w:pPr>
        <w:numPr>
          <w:ilvl w:val="2"/>
          <w:numId w:val="1016"/>
        </w:numPr>
      </w:pPr>
      <w:r>
        <w:t xml:space="preserve">Discharge disposition</w:t>
      </w:r>
    </w:p>
    <w:p>
      <w:pPr>
        <w:numPr>
          <w:ilvl w:val="2"/>
          <w:numId w:val="1016"/>
        </w:numPr>
      </w:pPr>
      <w:r>
        <w:t xml:space="preserve">Number of comorbidities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Statistical Methods:</w:t>
      </w:r>
    </w:p>
    <w:p>
      <w:pPr>
        <w:numPr>
          <w:ilvl w:val="1"/>
          <w:numId w:val="1017"/>
        </w:numPr>
      </w:pPr>
      <w:r>
        <w:t xml:space="preserve">Survey Design and Weighting:</w:t>
      </w:r>
    </w:p>
    <w:p>
      <w:pPr>
        <w:pStyle w:val="Compact"/>
        <w:numPr>
          <w:ilvl w:val="2"/>
          <w:numId w:val="1018"/>
        </w:numPr>
      </w:pPr>
      <w:r>
        <w:t xml:space="preserve">All analyses incorporated NRD’s complex sampling design via the survey and srvyr packages.</w:t>
      </w:r>
    </w:p>
    <w:p>
      <w:pPr>
        <w:numPr>
          <w:ilvl w:val="1"/>
          <w:numId w:val="1017"/>
        </w:numPr>
      </w:pPr>
      <w:r>
        <w:t xml:space="preserve">Descriptive Statistics:</w:t>
      </w:r>
    </w:p>
    <w:p>
      <w:pPr>
        <w:numPr>
          <w:ilvl w:val="2"/>
          <w:numId w:val="1019"/>
        </w:numPr>
      </w:pPr>
      <w:r>
        <w:t xml:space="preserve">Weighted baseline characteristics of index hospitalizations were summarized and stratified by 30-day readmission status to compare patients who were readmitted versus those who were not.</w:t>
      </w:r>
    </w:p>
    <w:p>
      <w:pPr>
        <w:numPr>
          <w:ilvl w:val="2"/>
          <w:numId w:val="1019"/>
        </w:numPr>
      </w:pPr>
      <w:r>
        <w:t xml:space="preserve">Stratification was performed using a derived binary variable, which categorized patients as:</w:t>
      </w:r>
    </w:p>
    <w:p>
      <w:pPr>
        <w:numPr>
          <w:ilvl w:val="3"/>
          <w:numId w:val="1020"/>
        </w:numPr>
      </w:pPr>
      <w:r>
        <w:t xml:space="preserve">With 30-day readmission</w:t>
      </w:r>
    </w:p>
    <w:p>
      <w:pPr>
        <w:numPr>
          <w:ilvl w:val="3"/>
          <w:numId w:val="1020"/>
        </w:numPr>
      </w:pPr>
      <w:r>
        <w:t xml:space="preserve">Without readmission</w:t>
      </w:r>
    </w:p>
    <w:p>
      <w:pPr>
        <w:numPr>
          <w:ilvl w:val="2"/>
          <w:numId w:val="1019"/>
        </w:numPr>
      </w:pPr>
      <w:r>
        <w:t xml:space="preserve">P-values from statistical tests (Rao–Scott adjusted chi-square for categorical variables; Kruskal–Wallis test for continuous variables).</w:t>
      </w:r>
    </w:p>
    <w:p>
      <w:pPr>
        <w:numPr>
          <w:ilvl w:val="1"/>
          <w:numId w:val="1017"/>
        </w:numPr>
      </w:pPr>
      <w:r>
        <w:t xml:space="preserve">Multivariable Regression:</w:t>
      </w:r>
    </w:p>
    <w:p>
      <w:pPr>
        <w:numPr>
          <w:ilvl w:val="2"/>
          <w:numId w:val="1021"/>
        </w:numPr>
      </w:pPr>
      <w:r>
        <w:t xml:space="preserve">A survey-weighted logistic regression modeled predictors of 30-day readmission.</w:t>
      </w:r>
    </w:p>
    <w:p>
      <w:pPr>
        <w:numPr>
          <w:ilvl w:val="2"/>
          <w:numId w:val="1021"/>
        </w:numPr>
      </w:pPr>
      <w:r>
        <w:t xml:space="preserve">The model included demographic, clinical, hospital-level, and index-stay factors.</w:t>
      </w:r>
    </w:p>
    <w:p>
      <w:pPr>
        <w:numPr>
          <w:ilvl w:val="2"/>
          <w:numId w:val="1021"/>
        </w:numPr>
      </w:pPr>
      <w:r>
        <w:t xml:space="preserve">Results were exponentiated to yield odds ratios (ORs) with 95% confidence intervals.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Software:</w:t>
      </w:r>
      <w:r>
        <w:t xml:space="preserve"> </w:t>
      </w:r>
      <w:r>
        <w:t xml:space="preserve">All analyses were conducted in R Statistical Language (Version 4.5.0; R Foundation for Statistical Computing, Vienna, Austria).</w:t>
      </w:r>
    </w:p>
    <w:bookmarkEnd w:id="21"/>
    <w:bookmarkStart w:id="25" w:name="descriptive-statistics"/>
    <w:p>
      <w:pPr>
        <w:pStyle w:val="Heading2"/>
      </w:pPr>
      <w:r>
        <w:t xml:space="preserve">Descriptive Statistics:</w:t>
      </w:r>
    </w:p>
    <w:bookmarkStart w:id="22" w:name="X9c51e811ba3dcffb5cae7b5221dbcecbce51906"/>
    <w:p>
      <w:pPr>
        <w:pStyle w:val="Heading3"/>
      </w:pPr>
      <w:r>
        <w:t xml:space="preserve">Baseline Characteristics of Index Hospitalizations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21,319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Type A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4,471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Type B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16,848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 (15)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 (14)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 (15)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13,302 (62%)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3,034 (68%)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10,268 (61%)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8,018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1,438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6,580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Primary Expected Payer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5,713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1,547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4,166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2,709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582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2,128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10,852 (51%)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1,842 (41%)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9,010 (54%)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2,004 (9.4%)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488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1,516 (9.0%)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 Household Income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0-25th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6,456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1,265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5,191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26th to 50th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5,419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1,058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4,361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51st to 75th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5,095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1,143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3,952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76th to 100th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3,987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948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3,039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Admission 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Monday-Friday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16,379 (77%)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3,399 (76%)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12,981 (77%)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Saturday-Sunday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4,940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1,073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3,867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Admission Type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2,994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495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2,498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18,256 (86%)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3,967 (89%)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14,289 (85%)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 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1,040 (4.9%)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161 (3.6%)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879 (5.2%)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16,584 (78%)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3,588 (80%)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12,996 (77%)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3,695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722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2,973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Number of comorbidities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One comorbidity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7,662 (36%)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1,678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5,984 (36%)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Two or more comorbidities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13,658 (64%)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2,794 (62%)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10,864 (64%)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Congestive 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1,955 (9.2%)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458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1,497 (8.9%)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Valvular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4,662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1,789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2,873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Coagulopathy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4,753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2,055 (46%)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2,698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Obesity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3,739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880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2,859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Fluid and electrolyte disorders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8,722 (41%)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2,616 (59%)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6,106 (36%)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pulmonary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4,590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818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3,772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Renal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4,375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762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3,613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17,489 (82%)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3,234 (72%)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14,255 (85%)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2,548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436 (9.7%)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2,113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Hyperlipidemia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8,189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1,486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6,703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Drug abuse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1,492 (7.0%)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288 (6.4%)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1,204 (7.1%)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Mean (SD); n (%)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Design-based KruskalWallis test; Pearson's X^2: Rao &amp; Scott adjustment</w:t>
            </w:r>
          </w:p>
        </w:tc>
      </w:tr>
    </w:tbl>
    <w:bookmarkEnd w:id="22"/>
    <w:bookmarkStart w:id="23" w:name="outcomes-of-index-hospitalizations"/>
    <w:p>
      <w:pPr>
        <w:pStyle w:val="Heading3"/>
      </w:pPr>
      <w:r>
        <w:t xml:space="preserve">Outcomes of Index Hospitalizations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21,319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Type A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4,471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Type B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16,848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30-Day Readmission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Without Readmission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17,166 (81%)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3,675 (82%)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13,490 (80%)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With 30-day readmission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4,154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796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3,358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In-Hospital Mortality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2,669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707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1,962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Length of Stay (days)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(3, 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(6, 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(3, 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Inflation-Adjusted Total Charges ($)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147,274 (53,922, 286,791)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290,112 (189,791, 479,684)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106,906 (41,548, 231,341)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n (%); Median (Q1, Q3)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Pearson's X^2: Rao &amp; Scott adjustment; Design-based KruskalWallis test</w:t>
            </w:r>
          </w:p>
        </w:tc>
      </w:tr>
    </w:tbl>
    <w:bookmarkEnd w:id="23"/>
    <w:bookmarkStart w:id="24" w:name="Xe314e83055e65d925fa994e4e459fef51399643"/>
    <w:p>
      <w:pPr>
        <w:pStyle w:val="Heading3"/>
      </w:pPr>
      <w:r>
        <w:t xml:space="preserve">Outcomes of Index Hospitalizations stratified by management of Type B Aortic Dissection: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Medical Management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16,368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Open Surgical Repair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2,486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TEVAR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2,465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30-Day Readmission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Without Readmission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13,157 (80%)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2,057 (83%)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1,951 (79%)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With 30-day readmission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3,211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429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514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In-Hospital Mortality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2,230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322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118 (4.8%)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Length of Stay (days)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(3, 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(7, 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(4, 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Inflation-Adjusted Total Charges ($)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106,906 (40,686, 249,381)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251,841 (177,721, 418,576)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222,734 (145,813, 329,552)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n (%); Median (Q1, Q3)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Pearson's X^2: Rao &amp; Scott adjustment; Design-based KruskalWallis test</w:t>
            </w:r>
          </w:p>
        </w:tc>
      </w:tr>
    </w:tbl>
    <w:bookmarkEnd w:id="24"/>
    <w:bookmarkEnd w:id="25"/>
    <w:bookmarkStart w:id="28" w:name="multivariable-regression"/>
    <w:p>
      <w:pPr>
        <w:pStyle w:val="Heading2"/>
      </w:pPr>
      <w:r>
        <w:t xml:space="preserve">Multivariable Regression</w:t>
      </w:r>
    </w:p>
    <w:bookmarkStart w:id="26" w:name="X559df7421291eee9ff66ab06d14019b14c3d46a"/>
    <w:p>
      <w:pPr>
        <w:pStyle w:val="Heading3"/>
      </w:pPr>
      <w:r>
        <w:t xml:space="preserve">30-Day Readmission for Type A Aortic Dissection: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0.98, 0.99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0.88, 1.09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Primary Expected Payer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1.11, 1.64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1.11, 1.51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0.86, 1.34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 Household Income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0-25th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26th to 50th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0.79, 1.03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51st to 75th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0.81, 1.07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76th to 100th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0.81, 1.08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Admission 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Monday-Friday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Saturday-Sunday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0.97, 1.23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 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0.80, 1.35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0.81, 1.43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Congestive 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0.82, 1.18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Valvular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0.87, 1.13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Coagulopathy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0.82, 1.06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Obesity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0.85, 1.11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Fluid and electrolyte disorders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0.86, 1.05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pulmonary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1.16, 1.53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Renal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1.15, 1.54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0.92, 1.20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0.99, 1.34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Hyperlipidemia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0.93, 1.16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Drug abuse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0.86, 1.27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bookmarkEnd w:id="26"/>
    <w:bookmarkStart w:id="27" w:name="X174a621b0335a463e9f7b6fa89ea10e261db8a0"/>
    <w:p>
      <w:pPr>
        <w:pStyle w:val="Heading3"/>
      </w:pPr>
      <w:r>
        <w:t xml:space="preserve">30-Day Readmission for Type B Aortic Dissection: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Type_B_management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Medical Management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Open Surgical Repair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0.71, 1.00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TEVAR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0.89, 1.21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0.98, 0.99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0.88, 1.09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Primary Expected Payer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1.11, 1.64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1.10, 1.50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0.85, 1.33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 Household Income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0-25th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26th to 50th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0.79, 1.03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51st to 75th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0.81, 1.07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76th to 100th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0.81, 1.09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Admission 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Monday-Friday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Saturday-Sunday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0.97, 1.23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 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0.80, 1.35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0.82, 1.43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Congestive 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0.81, 1.17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Valvular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0.88, 1.14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Coagulopathy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0.84, 1.08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Obesity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0.85, 1.11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Fluid and electrolyte disorders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0.86, 1.06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pulmonary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1.16, 1.52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Renal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1.15, 1.54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0.92, 1.20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0.99, 1.34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Hyperlipidemia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0.93, 1.16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Drug abuse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0.86, 1.27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pubmed.ncbi.nlm.nih.gov/31839347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pubmed.ncbi.nlm.nih.gov/31839347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Burden and predictors of 30-day readmission in patients with aortic dissection (Stratified by Type A vs Type B)</dc:title>
  <dc:creator>Eliza Aisha; Adeena Jamil</dc:creator>
  <cp:keywords/>
  <dcterms:created xsi:type="dcterms:W3CDTF">2026-03-17T12:51:54Z</dcterms:created>
  <dcterms:modified xsi:type="dcterms:W3CDTF">2026-03-17T12:51:54Z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ubtitle">
    <vt:lpwstr>2025_June_NRD_A15</vt:lpwstr>
  </property>
  <property fmtid="{D5CDD505-2E9C-101B-9397-08002B2CF9AE}" pid="12" name="toc-title">
    <vt:lpwstr>Table of contents</vt:lpwstr>
  </property>
</Properties>
</file>