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stroke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 anemia</w:t>
      </w:r>
    </w:p>
    <w:p>
      <w:pPr>
        <w:numPr>
          <w:ilvl w:val="2"/>
          <w:numId w:val="1014"/>
        </w:numPr>
      </w:pPr>
      <w:r>
        <w:t xml:space="preserve">Congestive heart failure</w:t>
      </w:r>
    </w:p>
    <w:p>
      <w:pPr>
        <w:numPr>
          <w:ilvl w:val="2"/>
          <w:numId w:val="1014"/>
        </w:numPr>
      </w:pPr>
      <w:r>
        <w:t xml:space="preserve">Chronic pulmonary disease</w:t>
      </w:r>
    </w:p>
    <w:p>
      <w:pPr>
        <w:numPr>
          <w:ilvl w:val="2"/>
          <w:numId w:val="1014"/>
        </w:numPr>
      </w:pPr>
      <w:r>
        <w:t xml:space="preserve">Peripheral Vascular Disease</w:t>
      </w:r>
    </w:p>
    <w:p>
      <w:pPr>
        <w:numPr>
          <w:ilvl w:val="2"/>
          <w:numId w:val="1014"/>
        </w:numPr>
      </w:pPr>
      <w:r>
        <w:t xml:space="preserve">Coronary artery disease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2"/>
          <w:numId w:val="1019"/>
        </w:numPr>
      </w:pPr>
      <w:r>
        <w:t xml:space="preserve">The ten most common principle diagnoses for readmission were reported according to decreasing prevalence.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bookmarkEnd w:id="22"/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3,637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3,504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4,969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4,802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5,168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4,997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2,609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2,451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7,728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272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1,596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8,927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8,619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2,218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852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6,337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6,106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639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664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9,157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1,099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2,880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1,411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3,158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2,308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3"/>
    <w:bookmarkStart w:id="24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10,137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9,798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Death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 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161,109 (104,861, 250,760)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159,909 (104,601, 249,065)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196,485 (117,638, 291,016)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8" w:name="X7d0a1c2a05e84965e19936ca624ae03f9f9afcd"/>
    <w:p>
      <w:pPr>
        <w:pStyle w:val="Heading2"/>
      </w:pPr>
      <w:r>
        <w:t xml:space="preserve">Readmission Hospitalization Characteristics</w:t>
      </w:r>
    </w:p>
    <w:bookmarkStart w:id="26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2"/>
        </w:numPr>
      </w:pPr>
      <w:r>
        <w:t xml:space="preserve">Deaths (n): 0</w:t>
      </w:r>
    </w:p>
    <w:p>
      <w:pPr>
        <w:numPr>
          <w:ilvl w:val="0"/>
          <w:numId w:val="1022"/>
        </w:numPr>
      </w:pPr>
      <w:r>
        <w:t xml:space="preserve">Death Rate (%): 0%</w:t>
      </w:r>
    </w:p>
    <w:p>
      <w:pPr>
        <w:numPr>
          <w:ilvl w:val="0"/>
          <w:numId w:val="1022"/>
        </w:numPr>
      </w:pPr>
      <w:r>
        <w:t xml:space="preserve">Death Rate (95% CI): NaN% to NaN%</w:t>
      </w:r>
    </w:p>
    <w:bookmarkEnd w:id="26"/>
    <w:bookmarkStart w:id="27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3"/>
        </w:numPr>
      </w:pPr>
      <w:r>
        <w:t xml:space="preserve">Median Length of Stay (IQR), days: 6 (IQR: 4–20)</w:t>
      </w:r>
    </w:p>
    <w:p>
      <w:pPr>
        <w:numPr>
          <w:ilvl w:val="0"/>
          <w:numId w:val="1023"/>
        </w:numPr>
      </w:pPr>
      <w:r>
        <w:t xml:space="preserve">Median Total Charges (IQR): $104,987 (IQR: $74,836–$268,049)</w:t>
      </w:r>
    </w:p>
    <w:bookmarkEnd w:id="27"/>
    <w:bookmarkEnd w:id="28"/>
    <w:bookmarkStart w:id="29" w:name="top-causes-of-readmission"/>
    <w:p>
      <w:pPr>
        <w:pStyle w:val="Heading2"/>
      </w:pPr>
      <w:r>
        <w:t xml:space="preserve">Top Causes of Readmission</w:t>
      </w:r>
    </w:p>
    <w:p>
      <w:pPr>
        <w:pStyle w:val="SourceCode"/>
      </w:pPr>
      <w:r>
        <w:rPr>
          <w:rStyle w:val="VerbatimChar"/>
        </w:rPr>
        <w:t xml:space="preserve">              Diagnosis Proportion</w:t>
      </w:r>
      <w:r>
        <w:br/>
      </w:r>
      <w:r>
        <w:rPr>
          <w:rStyle w:val="VerbatimChar"/>
        </w:rPr>
        <w:t xml:space="preserve">I10_DX1I63311    I63311  0.3665572</w:t>
      </w:r>
      <w:r>
        <w:br/>
      </w:r>
      <w:r>
        <w:rPr>
          <w:rStyle w:val="VerbatimChar"/>
        </w:rPr>
        <w:t xml:space="preserve">I10_DX1I63411    I63411  0.3384146</w:t>
      </w:r>
      <w:r>
        <w:br/>
      </w:r>
      <w:r>
        <w:rPr>
          <w:rStyle w:val="VerbatimChar"/>
        </w:rPr>
        <w:t xml:space="preserve">I10_DX1I69354    I69354  0.2950281</w:t>
      </w:r>
    </w:p>
    <w:bookmarkEnd w:id="29"/>
    <w:bookmarkStart w:id="31" w:name="multivariable-analyses"/>
    <w:p>
      <w:pPr>
        <w:pStyle w:val="Heading2"/>
      </w:pPr>
      <w:r>
        <w:t xml:space="preserve">Multivariable Analyses</w:t>
      </w:r>
    </w:p>
    <w:bookmarkStart w:id="30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1.26, 4.56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0.14, 0.66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2025-07-21T12:13:58Z</dcterms:created>
  <dcterms:modified xsi:type="dcterms:W3CDTF">2025-07-21T12:13:58Z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