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stroke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9"/>
        </w:numPr>
      </w:pPr>
      <w:r>
        <w:t xml:space="preserve">The ten most common principle diagnoses for readmission were reported according to decreasing prevalence.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6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338</w:t>
      </w:r>
    </w:p>
    <w:p>
      <w:pPr>
        <w:numPr>
          <w:ilvl w:val="0"/>
          <w:numId w:val="1022"/>
        </w:numPr>
      </w:pPr>
      <w:r>
        <w:t xml:space="preserve">Readmission Rate (%): 3.34%</w:t>
      </w:r>
    </w:p>
    <w:p>
      <w:pPr>
        <w:numPr>
          <w:ilvl w:val="0"/>
          <w:numId w:val="1022"/>
        </w:numPr>
      </w:pPr>
      <w:r>
        <w:t xml:space="preserve">Readmission Rate (95% CI): 2.82% to 3.86%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 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161,109 (104,861, 250,760)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159,909 (104,601, 249,065)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196,485 (117,638, 291,016)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5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5 (IQR: 3–7)</w:t>
      </w:r>
    </w:p>
    <w:p>
      <w:pPr>
        <w:numPr>
          <w:ilvl w:val="0"/>
          <w:numId w:val="1023"/>
        </w:numPr>
      </w:pPr>
      <w:r>
        <w:t xml:space="preserve">Median Total Charges (IQR): $46,731 (IQR: $26,209–$88,326)</w:t>
      </w:r>
    </w:p>
    <w:bookmarkEnd w:id="25"/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30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ICD-10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0.1415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0.1372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Sequelae of cerebrovascular disease</w:t>
            </w:r>
          </w:p>
        </w:tc>
        <w:tc>
          <w:tcPr/>
          <w:p>
            <w:pPr>
              <w:pStyle w:val="Compact"/>
            </w:pPr>
            <w:r>
              <w:t xml:space="preserve">0.0758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I48</w:t>
            </w:r>
          </w:p>
        </w:tc>
        <w:tc>
          <w:tcPr/>
          <w:p>
            <w:pPr>
              <w:pStyle w:val="Compact"/>
            </w:pPr>
            <w:r>
              <w:t xml:space="preserve">Atrial fibrillation and flutter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I61</w:t>
            </w:r>
          </w:p>
        </w:tc>
        <w:tc>
          <w:tcPr/>
          <w:p>
            <w:pPr>
              <w:pStyle w:val="Compact"/>
            </w:pPr>
            <w:r>
              <w:t xml:space="preserve">Nontraumatic Intracerebral hemorrhage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J69</w:t>
            </w:r>
          </w:p>
        </w:tc>
        <w:tc>
          <w:tcPr/>
          <w:p>
            <w:pPr>
              <w:pStyle w:val="Compact"/>
            </w:pPr>
            <w:r>
              <w:t xml:space="preserve">Pneumonitis due to solids and liquids</w:t>
            </w:r>
          </w:p>
        </w:tc>
        <w:tc>
          <w:tcPr/>
          <w:p>
            <w:pPr>
              <w:pStyle w:val="Compact"/>
            </w:pPr>
            <w:r>
              <w:t xml:space="preserve">0.0437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Occlusion and stenosis of precerebral arteries, not resulting in cerebral infarction</w:t>
            </w:r>
          </w:p>
        </w:tc>
        <w:tc>
          <w:tcPr/>
          <w:p>
            <w:pPr>
              <w:pStyle w:val="Compact"/>
            </w:pPr>
            <w:r>
              <w:t xml:space="preserve">0.0371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N39</w:t>
            </w:r>
          </w:p>
        </w:tc>
        <w:tc>
          <w:tcPr/>
          <w:p>
            <w:pPr>
              <w:pStyle w:val="Compact"/>
            </w:pPr>
            <w:r>
              <w:t xml:space="preserve">Other disorders of the urinary system</w:t>
            </w:r>
          </w:p>
        </w:tc>
        <w:tc>
          <w:tcPr/>
          <w:p>
            <w:pPr>
              <w:pStyle w:val="Compact"/>
            </w:pPr>
            <w:r>
              <w:t xml:space="preserve">0.0239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0.0208</w:t>
            </w:r>
          </w:p>
        </w:tc>
      </w:tr>
    </w:tbl>
    <w:bookmarkEnd w:id="27"/>
    <w:bookmarkStart w:id="29" w:name="multivariable-analyses"/>
    <w:p>
      <w:pPr>
        <w:pStyle w:val="Heading2"/>
      </w:pPr>
      <w:r>
        <w:t xml:space="preserve">Multivariable Analyses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2025-07-21T15:01:16Z</dcterms:created>
  <dcterms:modified xsi:type="dcterms:W3CDTF">2025-07-21T15:01:16Z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