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30-Day Readmissions in Pediatric Patients with Type 1 Diabetes</w:t>
      </w:r>
    </w:p>
    <w:p>
      <w:pPr>
        <w:pStyle w:val="Subtitle"/>
      </w:pPr>
      <w:r>
        <w:t xml:space="preserve">2025_June_NRD_A23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Adarsh Raja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Bhatt et al., 2020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type 1 diabetes mellitus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≤18 years</w:t>
      </w:r>
    </w:p>
    <w:p>
      <w:pPr>
        <w:numPr>
          <w:ilvl w:val="1"/>
          <w:numId w:val="1003"/>
        </w:numPr>
      </w:pPr>
      <w:r>
        <w:t xml:space="preserve">Principal diagnosis of type 1 diabetes mellitus using ICD code E50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diabetes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&lt;5, 5–11, 12–18)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Number of comorbidities</w:t>
      </w:r>
    </w:p>
    <w:p>
      <w:pPr>
        <w:numPr>
          <w:ilvl w:val="2"/>
          <w:numId w:val="1014"/>
        </w:numPr>
      </w:pPr>
      <w:r>
        <w:t xml:space="preserve">Elixhauser comorbidity index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Patient’s residence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Readmission (n): 4051</w:t>
      </w:r>
    </w:p>
    <w:p>
      <w:pPr>
        <w:numPr>
          <w:ilvl w:val="0"/>
          <w:numId w:val="1022"/>
        </w:numPr>
      </w:pPr>
      <w:r>
        <w:t xml:space="preserve">Readmission Rate (%): 6.83%</w:t>
      </w:r>
    </w:p>
    <w:p>
      <w:pPr>
        <w:numPr>
          <w:ilvl w:val="0"/>
          <w:numId w:val="1022"/>
        </w:numPr>
      </w:pPr>
      <w:r>
        <w:t xml:space="preserve">Readmission Rate (95% CI): 6.17% to 7.49%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3"/>
        </w:numPr>
      </w:pPr>
      <w:r>
        <w:t xml:space="preserve">Deaths (n): 39</w:t>
      </w:r>
    </w:p>
    <w:p>
      <w:pPr>
        <w:numPr>
          <w:ilvl w:val="0"/>
          <w:numId w:val="1023"/>
        </w:numPr>
      </w:pPr>
      <w:r>
        <w:t xml:space="preserve">Death Rate (%): 0.07%</w:t>
      </w:r>
    </w:p>
    <w:p>
      <w:pPr>
        <w:numPr>
          <w:ilvl w:val="0"/>
          <w:numId w:val="1023"/>
        </w:numPr>
      </w:pPr>
      <w:r>
        <w:t xml:space="preserve">Death Rate (95% CI): 0.03% to 0.11%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4"/>
        </w:numPr>
      </w:pPr>
      <w:r>
        <w:t xml:space="preserve">Deaths (n): 6</w:t>
      </w:r>
    </w:p>
    <w:p>
      <w:pPr>
        <w:numPr>
          <w:ilvl w:val="0"/>
          <w:numId w:val="1024"/>
        </w:numPr>
      </w:pPr>
      <w:r>
        <w:t xml:space="preserve">Death Rate (%): 0.17%</w:t>
      </w:r>
    </w:p>
    <w:p>
      <w:pPr>
        <w:numPr>
          <w:ilvl w:val="0"/>
          <w:numId w:val="1024"/>
        </w:numPr>
      </w:pPr>
      <w:r>
        <w:t xml:space="preserve">Death Rate (95% CI): -0.1% to 0.43%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Mean Length of Stay (days): 2.26</w:t>
      </w:r>
    </w:p>
    <w:p>
      <w:pPr>
        <w:numPr>
          <w:ilvl w:val="0"/>
          <w:numId w:val="1025"/>
        </w:numPr>
      </w:pPr>
      <w:r>
        <w:t xml:space="preserve">Mean Length of Stay (95% CI): 2.19 to 2.34</w:t>
      </w:r>
    </w:p>
    <w:p>
      <w:pPr>
        <w:numPr>
          <w:ilvl w:val="0"/>
          <w:numId w:val="1025"/>
        </w:numPr>
      </w:pPr>
      <w:r>
        <w:t xml:space="preserve">Mean Charge ($): 20093</w:t>
      </w:r>
    </w:p>
    <w:p>
      <w:pPr>
        <w:numPr>
          <w:ilvl w:val="0"/>
          <w:numId w:val="1025"/>
        </w:numPr>
      </w:pPr>
      <w:r>
        <w:t xml:space="preserve">Mean Charge (95% CI): 18817 to 21369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Mean Length of Stay (days): 2.75</w:t>
      </w:r>
    </w:p>
    <w:p>
      <w:pPr>
        <w:numPr>
          <w:ilvl w:val="0"/>
          <w:numId w:val="1026"/>
        </w:numPr>
      </w:pPr>
      <w:r>
        <w:t xml:space="preserve">Mean Length of Stay (95% CI): 2.55 to 2.94</w:t>
      </w:r>
    </w:p>
    <w:p>
      <w:pPr>
        <w:numPr>
          <w:ilvl w:val="0"/>
          <w:numId w:val="1026"/>
        </w:numPr>
      </w:pPr>
      <w:r>
        <w:t xml:space="preserve">Mean Charge ($): 23136</w:t>
      </w:r>
    </w:p>
    <w:p>
      <w:pPr>
        <w:numPr>
          <w:ilvl w:val="0"/>
          <w:numId w:val="1026"/>
        </w:numPr>
      </w:pPr>
      <w:r>
        <w:t xml:space="preserve">Mean Charge (95% CI): 21351 to 24922</w:t>
      </w:r>
    </w:p>
    <w:bookmarkEnd w:id="24"/>
    <w:bookmarkEnd w:id="25"/>
    <w:bookmarkStart w:id="26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59,312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55,261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4,051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0–6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5,896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13–18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35,144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31,826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3,318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7–12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18,273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17,640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28,658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27,110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30,654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28,151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19,198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17,481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1,718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15,354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14,087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13,334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8,974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8,531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12,967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11,990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13,309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14,154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13,219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6,617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5,917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4,916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4,495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AWEEKEND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44,956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41,996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14,356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6,897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39,462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36,845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12,396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11,519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5,135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4,626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51,648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48,401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3,247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31,907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29,121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2,786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3,626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3,297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23,713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22,779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51,328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48,104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7,984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7,157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56,002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52,227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3,775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3,034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0–6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13–18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3.04, 6.37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7–12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AWEEKEND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246942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246942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30-Day Readmissions in Pediatric Patients with Type 1 Diabetes</dc:title>
  <dc:creator>Eliza Aisha; Adarsh Raja</dc:creator>
  <cp:keywords/>
  <dcterms:created xsi:type="dcterms:W3CDTF">2025-07-25T16:35:10Z</dcterms:created>
  <dcterms:modified xsi:type="dcterms:W3CDTF">2025-07-25T16:35:10Z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2025_June_NRD_A23</vt:lpwstr>
  </property>
  <property fmtid="{D5CDD505-2E9C-101B-9397-08002B2CF9AE}" pid="12" name="toc-title">
    <vt:lpwstr>Table of contents</vt:lpwstr>
  </property>
</Properties>
</file>