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30-Day Readmissions in Pediatric Patients with Type 1 Diabetes</w:t>
      </w:r>
    </w:p>
    <w:p>
      <w:pPr>
        <w:pStyle w:val="Subtitle"/>
      </w:pPr>
      <w:r>
        <w:t xml:space="preserve">2025_June_NRD_A23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Adarsh Raja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Bhatt et al., 2020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type 1 diabetes mellitus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≤18 years</w:t>
      </w:r>
    </w:p>
    <w:p>
      <w:pPr>
        <w:numPr>
          <w:ilvl w:val="1"/>
          <w:numId w:val="1003"/>
        </w:numPr>
      </w:pPr>
      <w:r>
        <w:t xml:space="preserve">Principal diagnosis of type 1 diabetes mellitus using ICD code E50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diabetes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&lt;5, 5–11, 12–18)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pStyle w:val="Compact"/>
        <w:numPr>
          <w:ilvl w:val="2"/>
          <w:numId w:val="1014"/>
        </w:numPr>
      </w:pPr>
      <w:r>
        <w:t xml:space="preserve">Number of comorbidities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Location of hospital (Urbanization)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bookmarkEnd w:id="22"/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1,144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5,386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5,337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13,072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12,596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9,520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9,316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10,083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9,759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5,976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4,846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4,721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13,233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10,998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10,711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7,564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1,618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1,533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17,146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16,742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7,797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7,680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10,569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10,214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1,198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1,142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16,946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16,525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2,657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19,603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19,075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527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(1.00, 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15,172 (9,671, 23,569)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15,182 (9,675, 23,603)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14,518 (9,486, 23,220)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8" w:name="X7d0a1c2a05e84965e19936ca624ae03f9f9afcd"/>
    <w:p>
      <w:pPr>
        <w:pStyle w:val="Heading2"/>
      </w:pPr>
      <w:r>
        <w:t xml:space="preserve">Readmission Hospitalization Characteristics</w:t>
      </w:r>
    </w:p>
    <w:bookmarkStart w:id="26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2"/>
        </w:numPr>
      </w:pPr>
      <w:r>
        <w:t xml:space="preserve">Deaths (n): 1</w:t>
      </w:r>
    </w:p>
    <w:p>
      <w:pPr>
        <w:numPr>
          <w:ilvl w:val="0"/>
          <w:numId w:val="1022"/>
        </w:numPr>
      </w:pPr>
      <w:r>
        <w:t xml:space="preserve">Death Rate (%): 0.27%</w:t>
      </w:r>
    </w:p>
    <w:p>
      <w:pPr>
        <w:numPr>
          <w:ilvl w:val="0"/>
          <w:numId w:val="1022"/>
        </w:numPr>
      </w:pPr>
      <w:r>
        <w:t xml:space="preserve">Death Rate (95% CI): -0.27% to 0.82%</w:t>
      </w:r>
    </w:p>
    <w:bookmarkEnd w:id="26"/>
    <w:bookmarkStart w:id="27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Median Length of Stay (IQR), days: 2 (IQR: 1–3)</w:t>
      </w:r>
    </w:p>
    <w:p>
      <w:pPr>
        <w:numPr>
          <w:ilvl w:val="0"/>
          <w:numId w:val="1023"/>
        </w:numPr>
      </w:pPr>
      <w:r>
        <w:t xml:space="preserve">Median Total Charges (IQR): $17,086 (IQR: $11,688–$26,354)</w:t>
      </w:r>
    </w:p>
    <w:bookmarkEnd w:id="27"/>
    <w:bookmarkEnd w:id="28"/>
    <w:bookmarkStart w:id="30" w:name="multivariable-analyses"/>
    <w:p>
      <w:pPr>
        <w:pStyle w:val="Heading2"/>
      </w:pPr>
      <w:r>
        <w:t xml:space="preserve">Multivariable Analyses</w:t>
      </w:r>
    </w:p>
    <w:bookmarkStart w:id="29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0.68, 42.3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12–18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2.65, 141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1.43, 5.27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Urbanization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0.58, 4.27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246942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246942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30-Day Readmissions in Pediatric Patients with Type 1 Diabetes</dc:title>
  <dc:creator>Eliza Aisha; Adarsh Raja</dc:creator>
  <cp:keywords/>
  <dcterms:created xsi:type="dcterms:W3CDTF">2025-07-21T17:08:07Z</dcterms:created>
  <dcterms:modified xsi:type="dcterms:W3CDTF">2025-07-21T17:08:07Z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2025_June_NRD_A23</vt:lpwstr>
  </property>
  <property fmtid="{D5CDD505-2E9C-101B-9397-08002B2CF9AE}" pid="12" name="toc-title">
    <vt:lpwstr>Table of contents</vt:lpwstr>
  </property>
</Properties>
</file>