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90-Day Readmissions in Pediatric Patients with Type 1 Diabetes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Adarsh Raja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Bhatt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patients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90-day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diabetes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</w:t>
      </w:r>
    </w:p>
    <w:p>
      <w:pPr>
        <w:numPr>
          <w:ilvl w:val="2"/>
          <w:numId w:val="1013"/>
        </w:numPr>
      </w:pPr>
      <w:r>
        <w:t xml:space="preserve">Sex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Number of comorbidities</w:t>
      </w:r>
    </w:p>
    <w:p>
      <w:pPr>
        <w:numPr>
          <w:ilvl w:val="2"/>
          <w:numId w:val="1014"/>
        </w:numPr>
      </w:pPr>
      <w:r>
        <w:t xml:space="preserve">Elixhauser comorbidity index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Patient’s residence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90-day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90-day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7777</w:t>
      </w:r>
    </w:p>
    <w:p>
      <w:pPr>
        <w:numPr>
          <w:ilvl w:val="0"/>
          <w:numId w:val="1022"/>
        </w:numPr>
      </w:pPr>
      <w:r>
        <w:t xml:space="preserve">Readmission Rate (%): 16.07%</w:t>
      </w:r>
    </w:p>
    <w:p>
      <w:pPr>
        <w:numPr>
          <w:ilvl w:val="0"/>
          <w:numId w:val="1022"/>
        </w:numPr>
      </w:pPr>
      <w:r>
        <w:t xml:space="preserve">Readmission Rate (95% CI): 14.85% to 17.28%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32</w:t>
      </w:r>
    </w:p>
    <w:p>
      <w:pPr>
        <w:numPr>
          <w:ilvl w:val="0"/>
          <w:numId w:val="1023"/>
        </w:numPr>
      </w:pPr>
      <w:r>
        <w:t xml:space="preserve">Death Rate (%): 0.07%</w:t>
      </w:r>
    </w:p>
    <w:p>
      <w:pPr>
        <w:numPr>
          <w:ilvl w:val="0"/>
          <w:numId w:val="1023"/>
        </w:numPr>
      </w:pPr>
      <w:r>
        <w:t xml:space="preserve">Death Rate (95% CI): 0.02% to 0.12%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10</w:t>
      </w:r>
    </w:p>
    <w:p>
      <w:pPr>
        <w:numPr>
          <w:ilvl w:val="0"/>
          <w:numId w:val="1024"/>
        </w:numPr>
      </w:pPr>
      <w:r>
        <w:t xml:space="preserve">Death Rate (%): 0.14%</w:t>
      </w:r>
    </w:p>
    <w:p>
      <w:pPr>
        <w:numPr>
          <w:ilvl w:val="0"/>
          <w:numId w:val="1024"/>
        </w:numPr>
      </w:pPr>
      <w:r>
        <w:t xml:space="preserve">Death Rate (95% CI): -0.03% to 0.32%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2.27</w:t>
      </w:r>
    </w:p>
    <w:p>
      <w:pPr>
        <w:numPr>
          <w:ilvl w:val="0"/>
          <w:numId w:val="1025"/>
        </w:numPr>
      </w:pPr>
      <w:r>
        <w:t xml:space="preserve">Mean Length of Stay (95% CI): 2.19 to 2.34</w:t>
      </w:r>
    </w:p>
    <w:p>
      <w:pPr>
        <w:numPr>
          <w:ilvl w:val="0"/>
          <w:numId w:val="1025"/>
        </w:numPr>
      </w:pPr>
      <w:r>
        <w:t xml:space="preserve">Mean Charge ($): 19924</w:t>
      </w:r>
    </w:p>
    <w:p>
      <w:pPr>
        <w:numPr>
          <w:ilvl w:val="0"/>
          <w:numId w:val="1025"/>
        </w:numPr>
      </w:pPr>
      <w:r>
        <w:t xml:space="preserve">Mean Charge (95% CI): 18585 to 21262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2.54</w:t>
      </w:r>
    </w:p>
    <w:p>
      <w:pPr>
        <w:numPr>
          <w:ilvl w:val="0"/>
          <w:numId w:val="1026"/>
        </w:numPr>
      </w:pPr>
      <w:r>
        <w:t xml:space="preserve">Mean Length of Stay (95% CI): 2.4 to 2.68</w:t>
      </w:r>
    </w:p>
    <w:p>
      <w:pPr>
        <w:numPr>
          <w:ilvl w:val="0"/>
          <w:numId w:val="1026"/>
        </w:numPr>
      </w:pPr>
      <w:r>
        <w:t xml:space="preserve">Mean Charge ($): 22526</w:t>
      </w:r>
    </w:p>
    <w:p>
      <w:pPr>
        <w:numPr>
          <w:ilvl w:val="0"/>
          <w:numId w:val="1026"/>
        </w:numPr>
      </w:pPr>
      <w:r>
        <w:t xml:space="preserve">Mean Charge (95% CI): 20864 to 24187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48,404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40,627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7,778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0–6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28,477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22,117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6,360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7–12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15,102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23,418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20,341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24,986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20,286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15,683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12,373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9,936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7,392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6,558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10,738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9,944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11,479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9,673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3,287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11,534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9,551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32,152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27,349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8,336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4,114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42,249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36,017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26,121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2,951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19,283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17,359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41,938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35,594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6,344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45,724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38,402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0–6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4.24, 7.67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7–12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24694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24694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90-Day Readmissions in Pediatric Patients with Type 1 Diabetes</dc:title>
  <dc:creator>Eliza Aisha; Adarsh Raja</dc:creator>
  <cp:keywords/>
  <dcterms:created xsi:type="dcterms:W3CDTF">2025-08-03T20:18:25Z</dcterms:created>
  <dcterms:modified xsi:type="dcterms:W3CDTF">2025-08-03T20:18:25Z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