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30-Day Readmissions Following Carotid Endarterectomy and Stenting</w:t>
      </w:r>
    </w:p>
    <w:p>
      <w:pPr>
        <w:pStyle w:val="Subtitle"/>
      </w:pPr>
      <w:r>
        <w:t xml:space="preserve">2025_June_NRD_A26</w:t>
      </w:r>
    </w:p>
    <w:p>
      <w:pPr>
        <w:pStyle w:val="Author"/>
      </w:pPr>
      <w:r>
        <w:t xml:space="preserve">Eliza Aisha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Lima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undergoing carotid endarterectomy and stenting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Undergoing carotid endarterectomy and stenting, using CCSR: CAR006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18–49, 50–64, 65–79, 80+)</w:t>
      </w:r>
    </w:p>
    <w:p>
      <w:pPr>
        <w:numPr>
          <w:ilvl w:val="2"/>
          <w:numId w:val="1013"/>
        </w:numPr>
      </w:pPr>
      <w:r>
        <w:t xml:space="preserve">Sex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pStyle w:val="Compact"/>
        <w:numPr>
          <w:ilvl w:val="2"/>
          <w:numId w:val="1014"/>
        </w:numPr>
      </w:pPr>
      <w:r>
        <w:t xml:space="preserve">Hypertension</w:t>
      </w:r>
    </w:p>
    <w:p>
      <w:pPr>
        <w:pStyle w:val="Compact"/>
        <w:numPr>
          <w:ilvl w:val="2"/>
          <w:numId w:val="1014"/>
        </w:numPr>
      </w:pPr>
      <w:r>
        <w:t xml:space="preserve">Diabetes</w:t>
      </w:r>
    </w:p>
    <w:p>
      <w:pPr>
        <w:pStyle w:val="Compact"/>
        <w:numPr>
          <w:ilvl w:val="2"/>
          <w:numId w:val="1014"/>
        </w:numPr>
      </w:pPr>
      <w:r>
        <w:t xml:space="preserve">Congestive_HF</w:t>
      </w:r>
    </w:p>
    <w:p>
      <w:pPr>
        <w:pStyle w:val="Compact"/>
        <w:numPr>
          <w:ilvl w:val="2"/>
          <w:numId w:val="1014"/>
        </w:numPr>
      </w:pPr>
      <w:r>
        <w:t xml:space="preserve">Hyperlipidemia</w:t>
      </w:r>
    </w:p>
    <w:p>
      <w:pPr>
        <w:pStyle w:val="Compact"/>
        <w:numPr>
          <w:ilvl w:val="2"/>
          <w:numId w:val="1014"/>
        </w:numPr>
      </w:pPr>
      <w:r>
        <w:t xml:space="preserve">Obesity</w:t>
      </w:r>
    </w:p>
    <w:p>
      <w:pPr>
        <w:pStyle w:val="Compact"/>
        <w:numPr>
          <w:ilvl w:val="2"/>
          <w:numId w:val="1014"/>
        </w:numPr>
      </w:pPr>
      <w:r>
        <w:t xml:space="preserve">Coronary artery disease</w:t>
      </w:r>
    </w:p>
    <w:p>
      <w:pPr>
        <w:pStyle w:val="Compact"/>
        <w:numPr>
          <w:ilvl w:val="2"/>
          <w:numId w:val="1014"/>
        </w:numPr>
      </w:pPr>
      <w:r>
        <w:t xml:space="preserve">Valvular disease</w:t>
      </w:r>
    </w:p>
    <w:p>
      <w:pPr>
        <w:pStyle w:val="Compact"/>
        <w:numPr>
          <w:ilvl w:val="2"/>
          <w:numId w:val="1014"/>
        </w:numPr>
      </w:pPr>
      <w:r>
        <w:t xml:space="preserve">Atrial fibrillation</w:t>
      </w:r>
    </w:p>
    <w:p>
      <w:pPr>
        <w:pStyle w:val="Compact"/>
        <w:numPr>
          <w:ilvl w:val="2"/>
          <w:numId w:val="1014"/>
        </w:numPr>
      </w:pPr>
      <w:r>
        <w:t xml:space="preserve">Peripheral vascular disease</w:t>
      </w:r>
    </w:p>
    <w:p>
      <w:pPr>
        <w:pStyle w:val="Compact"/>
        <w:numPr>
          <w:ilvl w:val="2"/>
          <w:numId w:val="1014"/>
        </w:numPr>
      </w:pPr>
      <w:r>
        <w:t xml:space="preserve">Chronic pulmonary disease</w:t>
      </w:r>
    </w:p>
    <w:p>
      <w:pPr>
        <w:pStyle w:val="Compact"/>
        <w:numPr>
          <w:ilvl w:val="2"/>
          <w:numId w:val="1014"/>
        </w:numPr>
      </w:pPr>
      <w:r>
        <w:t xml:space="preserve">Chronic kidney disease</w:t>
      </w:r>
    </w:p>
    <w:p>
      <w:pPr>
        <w:pStyle w:val="Compact"/>
        <w:numPr>
          <w:ilvl w:val="2"/>
          <w:numId w:val="1014"/>
        </w:numPr>
      </w:pPr>
      <w:r>
        <w:t xml:space="preserve">Anemia</w:t>
      </w:r>
    </w:p>
    <w:p>
      <w:pPr>
        <w:pStyle w:val="Compact"/>
        <w:numPr>
          <w:ilvl w:val="2"/>
          <w:numId w:val="1014"/>
        </w:numPr>
      </w:pPr>
      <w:r>
        <w:t xml:space="preserve">Coagulopathy</w:t>
      </w:r>
    </w:p>
    <w:p>
      <w:pPr>
        <w:pStyle w:val="Compact"/>
        <w:numPr>
          <w:ilvl w:val="2"/>
          <w:numId w:val="1014"/>
        </w:numPr>
      </w:pPr>
      <w:r>
        <w:t xml:space="preserve">MetCancer</w:t>
      </w:r>
    </w:p>
    <w:p>
      <w:pPr>
        <w:pStyle w:val="Compact"/>
        <w:numPr>
          <w:ilvl w:val="2"/>
          <w:numId w:val="1014"/>
        </w:numPr>
      </w:pPr>
      <w:r>
        <w:t xml:space="preserve">Dementia</w:t>
      </w:r>
    </w:p>
    <w:p>
      <w:pPr>
        <w:pStyle w:val="Compact"/>
        <w:numPr>
          <w:ilvl w:val="2"/>
          <w:numId w:val="1014"/>
        </w:numPr>
      </w:pPr>
      <w:r>
        <w:t xml:space="preserve">Fluid_electrolyte_disorders</w:t>
      </w:r>
    </w:p>
    <w:p>
      <w:pPr>
        <w:pStyle w:val="Compact"/>
        <w:numPr>
          <w:ilvl w:val="2"/>
          <w:numId w:val="1014"/>
        </w:numPr>
      </w:pPr>
      <w:r>
        <w:t xml:space="preserve">Liver_disease</w:t>
      </w:r>
    </w:p>
    <w:p>
      <w:pPr>
        <w:pStyle w:val="Compact"/>
        <w:numPr>
          <w:ilvl w:val="2"/>
          <w:numId w:val="1014"/>
        </w:numPr>
      </w:pPr>
      <w:r>
        <w:t xml:space="preserve">Depression</w:t>
      </w:r>
    </w:p>
    <w:p>
      <w:pPr>
        <w:pStyle w:val="Compact"/>
        <w:numPr>
          <w:ilvl w:val="2"/>
          <w:numId w:val="1014"/>
        </w:numPr>
      </w:pPr>
      <w:r>
        <w:t xml:space="preserve">PreviousPCI</w:t>
      </w:r>
    </w:p>
    <w:p>
      <w:pPr>
        <w:pStyle w:val="Compact"/>
        <w:numPr>
          <w:ilvl w:val="2"/>
          <w:numId w:val="1014"/>
        </w:numPr>
      </w:pPr>
      <w:r>
        <w:t xml:space="preserve">PreviousCABG</w:t>
      </w:r>
    </w:p>
    <w:p>
      <w:pPr>
        <w:pStyle w:val="Compact"/>
        <w:numPr>
          <w:ilvl w:val="2"/>
          <w:numId w:val="1014"/>
        </w:numPr>
      </w:pPr>
      <w:r>
        <w:t xml:space="preserve">prioMI</w:t>
      </w:r>
    </w:p>
    <w:p>
      <w:pPr>
        <w:pStyle w:val="Compact"/>
        <w:numPr>
          <w:ilvl w:val="2"/>
          <w:numId w:val="1014"/>
        </w:numPr>
      </w:pPr>
      <w:r>
        <w:t xml:space="preserve">PriorStroke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Discharge disposition</w:t>
      </w:r>
    </w:p>
    <w:p>
      <w:pPr>
        <w:numPr>
          <w:ilvl w:val="2"/>
          <w:numId w:val="1016"/>
        </w:numPr>
      </w:pPr>
      <w:r>
        <w:t xml:space="preserve">Number of comorbidities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30-day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2"/>
          <w:numId w:val="1019"/>
        </w:numPr>
      </w:pPr>
      <w:r>
        <w:t xml:space="preserve">The ten most common principle diagnoses for readmission were reported according to decreasing prevalence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3" w:name="descriptive-analyses"/>
    <w:p>
      <w:pPr>
        <w:pStyle w:val="Heading2"/>
      </w:pPr>
      <w:r>
        <w:t xml:space="preserve">Descriptive Analyses</w:t>
      </w:r>
    </w:p>
    <w:bookmarkStart w:id="22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58,379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52,867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5,512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4,144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3,815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16,407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14,967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26,527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23,939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11,301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10,145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33,827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30,767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3,061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24,552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22,100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2,452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17,406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15,601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1,806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16,285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14,762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14,008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12,790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9,778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8,881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4,164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3,715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40,335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36,530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3,805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12,622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10,130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45,340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41,048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4,292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1,819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1,688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11,585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10,758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4,770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466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38,078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34,134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3,944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3,402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DISPUNIFORM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 health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10,124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8,983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2,855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2,827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Routine discharge to home/self-care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31,900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29,340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2,560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SNF / intermediate / 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839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10,456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9,791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47,084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42,287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4,797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49,029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44,244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4,784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20,864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18,520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2,344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10,461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8,963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37,611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34,092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8,313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7,508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21,514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19,057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2,457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6,050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5,343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11,787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10,391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12,770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11,323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13,329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11,788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10,332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14,444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12,674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3,889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3,444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2,403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14,933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1,773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1,018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7,412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6,594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6,527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5,821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6,771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5,977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6,016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5,318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17,088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15,435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2"/>
    <w:bookmarkEnd w:id="23"/>
    <w:bookmarkStart w:id="26" w:name="X7d0a1c2a05e84965e19936ca624ae03f9f9afcd"/>
    <w:p>
      <w:pPr>
        <w:pStyle w:val="Heading2"/>
      </w:pPr>
      <w:r>
        <w:t xml:space="preserve">Readmission Hospitalization Characteristics</w:t>
      </w:r>
    </w:p>
    <w:bookmarkStart w:id="24" w:name="Xa37a556a6d20fd6b07c73bea42073aeff147ee8"/>
    <w:p>
      <w:pPr>
        <w:pStyle w:val="Heading3"/>
      </w:pPr>
      <w:r>
        <w:t xml:space="preserve">In-Hospital Mortality Among Readmitted Patients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2"/>
        </w:numPr>
      </w:pPr>
      <w:r>
        <w:t xml:space="preserve">Deaths (n): 266</w:t>
      </w:r>
    </w:p>
    <w:p>
      <w:pPr>
        <w:numPr>
          <w:ilvl w:val="0"/>
          <w:numId w:val="1022"/>
        </w:numPr>
      </w:pPr>
      <w:r>
        <w:t xml:space="preserve">Death Rate (%): 4.85%</w:t>
      </w:r>
    </w:p>
    <w:p>
      <w:pPr>
        <w:numPr>
          <w:ilvl w:val="0"/>
          <w:numId w:val="1022"/>
        </w:numPr>
      </w:pPr>
      <w:r>
        <w:t xml:space="preserve">Death Rate (95% CI): 4% to 5.71%</w:t>
      </w:r>
    </w:p>
    <w:bookmarkEnd w:id="24"/>
    <w:bookmarkStart w:id="25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3"/>
        </w:numPr>
      </w:pPr>
      <w:r>
        <w:t xml:space="preserve">Median Length of Stay (IQR), days: 3 (IQR: 2–7)</w:t>
      </w:r>
    </w:p>
    <w:p>
      <w:pPr>
        <w:numPr>
          <w:ilvl w:val="0"/>
          <w:numId w:val="1023"/>
        </w:numPr>
      </w:pPr>
      <w:r>
        <w:t xml:space="preserve">Median Total Charges (IQR): $38,239 (IQR: $21,684–$75,185)</w:t>
      </w:r>
    </w:p>
    <w:bookmarkEnd w:id="25"/>
    <w:bookmarkEnd w:id="26"/>
    <w:bookmarkStart w:id="27" w:name="top-causes-of-readmission"/>
    <w:p>
      <w:pPr>
        <w:pStyle w:val="Heading2"/>
      </w:pPr>
      <w:r>
        <w:t xml:space="preserve">Top causes of readmission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6"/>
        <w:gridCol w:w="5633"/>
        <w:gridCol w:w="97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Diagnosis Code</w:t>
            </w:r>
          </w:p>
        </w:tc>
        <w:tc>
          <w:tcPr/>
          <w:p>
            <w:pPr>
              <w:pStyle w:val="Compact"/>
            </w:pPr>
            <w:r>
              <w:t xml:space="preserve">ICD-10 Description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I65</w:t>
            </w:r>
          </w:p>
        </w:tc>
        <w:tc>
          <w:tcPr/>
          <w:p>
            <w:pPr>
              <w:pStyle w:val="Compact"/>
            </w:pPr>
            <w:r>
              <w:t xml:space="preserve">Occlusion and stenosis of precerebral arteries, not resulting in cerebral infarction</w:t>
            </w:r>
          </w:p>
        </w:tc>
        <w:tc>
          <w:tcPr/>
          <w:p>
            <w:pPr>
              <w:pStyle w:val="Compact"/>
            </w:pPr>
            <w:r>
              <w:t xml:space="preserve">0.0881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A41</w:t>
            </w:r>
          </w:p>
        </w:tc>
        <w:tc>
          <w:tcPr/>
          <w:p>
            <w:pPr>
              <w:pStyle w:val="Compact"/>
            </w:pPr>
            <w:r>
              <w:t xml:space="preserve">Other sepsis</w:t>
            </w:r>
          </w:p>
        </w:tc>
        <w:tc>
          <w:tcPr/>
          <w:p>
            <w:pPr>
              <w:pStyle w:val="Compact"/>
            </w:pPr>
            <w:r>
              <w:t xml:space="preserve">0.0857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I63</w:t>
            </w:r>
          </w:p>
        </w:tc>
        <w:tc>
          <w:tcPr/>
          <w:p>
            <w:pPr>
              <w:pStyle w:val="Compact"/>
            </w:pPr>
            <w:r>
              <w:t xml:space="preserve">Cerebral infarction</w:t>
            </w:r>
          </w:p>
        </w:tc>
        <w:tc>
          <w:tcPr/>
          <w:p>
            <w:pPr>
              <w:pStyle w:val="Compact"/>
            </w:pPr>
            <w:r>
              <w:t xml:space="preserve">0.0787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I69</w:t>
            </w:r>
          </w:p>
        </w:tc>
        <w:tc>
          <w:tcPr/>
          <w:p>
            <w:pPr>
              <w:pStyle w:val="Compact"/>
            </w:pPr>
            <w:r>
              <w:t xml:space="preserve">Sequelae of cerebrovascular disease</w:t>
            </w:r>
          </w:p>
        </w:tc>
        <w:tc>
          <w:tcPr/>
          <w:p>
            <w:pPr>
              <w:pStyle w:val="Compact"/>
            </w:pPr>
            <w:r>
              <w:t xml:space="preserve">0.0383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I25</w:t>
            </w:r>
          </w:p>
        </w:tc>
        <w:tc>
          <w:tcPr/>
          <w:p>
            <w:pPr>
              <w:pStyle w:val="Compact"/>
            </w:pPr>
            <w:r>
              <w:t xml:space="preserve">Chronic ischemic heart disease</w:t>
            </w:r>
          </w:p>
        </w:tc>
        <w:tc>
          <w:tcPr/>
          <w:p>
            <w:pPr>
              <w:pStyle w:val="Compact"/>
            </w:pPr>
            <w:r>
              <w:t xml:space="preserve">0.0291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N17</w:t>
            </w:r>
          </w:p>
        </w:tc>
        <w:tc>
          <w:tcPr/>
          <w:p>
            <w:pPr>
              <w:pStyle w:val="Compact"/>
            </w:pPr>
            <w:r>
              <w:t xml:space="preserve">Acute kidney failure</w:t>
            </w:r>
          </w:p>
        </w:tc>
        <w:tc>
          <w:tcPr/>
          <w:p>
            <w:pPr>
              <w:pStyle w:val="Compact"/>
            </w:pPr>
            <w:r>
              <w:t xml:space="preserve">0.0253</w:t>
            </w:r>
          </w:p>
        </w:tc>
      </w:tr>
      <w:tr>
        <w:tc>
          <w:tcPr/>
          <w:p>
            <w:pPr>
              <w:pStyle w:val="Compact"/>
            </w:pPr>
            <w:r>
              <w:t xml:space="preserve">K92</w:t>
            </w:r>
          </w:p>
        </w:tc>
        <w:tc>
          <w:tcPr/>
          <w:p>
            <w:pPr>
              <w:pStyle w:val="Compact"/>
            </w:pPr>
            <w:r>
              <w:t xml:space="preserve">Other diseases of the digestive system</w:t>
            </w:r>
          </w:p>
        </w:tc>
        <w:tc>
          <w:tcPr/>
          <w:p>
            <w:pPr>
              <w:pStyle w:val="Compact"/>
            </w:pPr>
            <w:r>
              <w:t xml:space="preserve">0.0229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I61</w:t>
            </w:r>
          </w:p>
        </w:tc>
        <w:tc>
          <w:tcPr/>
          <w:p>
            <w:pPr>
              <w:pStyle w:val="Compact"/>
            </w:pPr>
            <w:r>
              <w:t xml:space="preserve">Nontraumatic intracerebral hemorrhage</w:t>
            </w:r>
          </w:p>
        </w:tc>
        <w:tc>
          <w:tcPr/>
          <w:p>
            <w:pPr>
              <w:pStyle w:val="Compact"/>
            </w:pPr>
            <w:r>
              <w:t xml:space="preserve">0.0213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I50</w:t>
            </w:r>
          </w:p>
        </w:tc>
        <w:tc>
          <w:tcPr/>
          <w:p>
            <w:pPr>
              <w:pStyle w:val="Compac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</w:pPr>
            <w:r>
              <w:t xml:space="preserve">0.0212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I21</w:t>
            </w:r>
          </w:p>
        </w:tc>
        <w:tc>
          <w:tcPr/>
          <w:p>
            <w:pPr>
              <w:pStyle w:val="Compact"/>
            </w:pPr>
            <w:r>
              <w:t xml:space="preserve">Acute myocardial infarction</w:t>
            </w:r>
          </w:p>
        </w:tc>
        <w:tc>
          <w:tcPr/>
          <w:p>
            <w:pPr>
              <w:pStyle w:val="Compact"/>
            </w:pPr>
            <w:r>
              <w:t xml:space="preserve">0.0200</w:t>
            </w:r>
          </w:p>
        </w:tc>
      </w:tr>
    </w:tbl>
    <w:bookmarkEnd w:id="27"/>
    <w:bookmarkStart w:id="29" w:name="multivariable-regression"/>
    <w:p>
      <w:pPr>
        <w:pStyle w:val="Heading2"/>
      </w:pPr>
      <w:r>
        <w:t xml:space="preserve">Multivariable Regression</w:t>
      </w:r>
    </w:p>
    <w:bookmarkStart w:id="28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DISPUNIFORM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 health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Routine discharge to home/self-care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SNF / intermediate / 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hajournals.org/doi/10.1161/CIRCINTERVENTIONS.119.0085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hajournals.org/doi/10.1161/CIRCINTERVENTIONS.119.0085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30-Day Readmissions Following Carotid Endarterectomy and Stenting</dc:title>
  <dc:creator>Eliza Aisha</dc:creator>
  <cp:keywords/>
  <dcterms:created xsi:type="dcterms:W3CDTF">2025-07-30T17:57:04Z</dcterms:created>
  <dcterms:modified xsi:type="dcterms:W3CDTF">2025-07-30T17:57:04Z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2025_June_NRD_A26</vt:lpwstr>
  </property>
  <property fmtid="{D5CDD505-2E9C-101B-9397-08002B2CF9AE}" pid="12" name="toc-title">
    <vt:lpwstr>Table of contents</vt:lpwstr>
  </property>
</Properties>
</file>