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30-Day Readmissions Following Carotid Endarterectomy and Stenting</w:t>
      </w:r>
    </w:p>
    <w:p>
      <w:pPr>
        <w:pStyle w:val="Subtitle"/>
      </w:pPr>
      <w:r>
        <w:t xml:space="preserve">2025_June_NRD_A26_30Days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Lima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undergoing carotid endarterectomy and stenting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Undergoing carotid endarterectomy and stenting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30-day readmission for coronary stenting vs endarterectomy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</w:t>
      </w:r>
    </w:p>
    <w:p>
      <w:pPr>
        <w:numPr>
          <w:ilvl w:val="2"/>
          <w:numId w:val="1010"/>
        </w:numPr>
      </w:pPr>
      <w:r>
        <w:t xml:space="preserve">Sex</w:t>
      </w:r>
    </w:p>
    <w:p>
      <w:pPr>
        <w:numPr>
          <w:ilvl w:val="2"/>
          <w:numId w:val="1010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pStyle w:val="Compact"/>
        <w:numPr>
          <w:ilvl w:val="2"/>
          <w:numId w:val="1011"/>
        </w:numPr>
      </w:pPr>
      <w:r>
        <w:t xml:space="preserve">Hypertension</w:t>
      </w:r>
    </w:p>
    <w:p>
      <w:pPr>
        <w:pStyle w:val="Compact"/>
        <w:numPr>
          <w:ilvl w:val="2"/>
          <w:numId w:val="1011"/>
        </w:numPr>
      </w:pPr>
      <w:r>
        <w:t xml:space="preserve">Diabetes</w:t>
      </w:r>
    </w:p>
    <w:p>
      <w:pPr>
        <w:pStyle w:val="Compact"/>
        <w:numPr>
          <w:ilvl w:val="2"/>
          <w:numId w:val="1011"/>
        </w:numPr>
      </w:pPr>
      <w:r>
        <w:t xml:space="preserve">Congestive heart failure</w:t>
      </w:r>
    </w:p>
    <w:p>
      <w:pPr>
        <w:pStyle w:val="Compact"/>
        <w:numPr>
          <w:ilvl w:val="2"/>
          <w:numId w:val="1011"/>
        </w:numPr>
      </w:pPr>
      <w:r>
        <w:t xml:space="preserve">Hyperlipidemia</w:t>
      </w:r>
    </w:p>
    <w:p>
      <w:pPr>
        <w:pStyle w:val="Compact"/>
        <w:numPr>
          <w:ilvl w:val="2"/>
          <w:numId w:val="1011"/>
        </w:numPr>
      </w:pPr>
      <w:r>
        <w:t xml:space="preserve">Obesity</w:t>
      </w:r>
    </w:p>
    <w:p>
      <w:pPr>
        <w:pStyle w:val="Compact"/>
        <w:numPr>
          <w:ilvl w:val="2"/>
          <w:numId w:val="1011"/>
        </w:numPr>
      </w:pPr>
      <w:r>
        <w:t xml:space="preserve">Coronary artery disease</w:t>
      </w:r>
    </w:p>
    <w:p>
      <w:pPr>
        <w:pStyle w:val="Compact"/>
        <w:numPr>
          <w:ilvl w:val="2"/>
          <w:numId w:val="1011"/>
        </w:numPr>
      </w:pPr>
      <w:r>
        <w:t xml:space="preserve">Valvular disease</w:t>
      </w:r>
    </w:p>
    <w:p>
      <w:pPr>
        <w:pStyle w:val="Compact"/>
        <w:numPr>
          <w:ilvl w:val="2"/>
          <w:numId w:val="1011"/>
        </w:numPr>
      </w:pPr>
      <w:r>
        <w:t xml:space="preserve">Atrial fibrillation</w:t>
      </w:r>
    </w:p>
    <w:p>
      <w:pPr>
        <w:pStyle w:val="Compact"/>
        <w:numPr>
          <w:ilvl w:val="2"/>
          <w:numId w:val="1011"/>
        </w:numPr>
      </w:pPr>
      <w:r>
        <w:t xml:space="preserve">Peripheral vascular disease</w:t>
      </w:r>
    </w:p>
    <w:p>
      <w:pPr>
        <w:pStyle w:val="Compact"/>
        <w:numPr>
          <w:ilvl w:val="2"/>
          <w:numId w:val="1011"/>
        </w:numPr>
      </w:pPr>
      <w:r>
        <w:t xml:space="preserve">Chronic pulmonary disease</w:t>
      </w:r>
    </w:p>
    <w:p>
      <w:pPr>
        <w:pStyle w:val="Compact"/>
        <w:numPr>
          <w:ilvl w:val="2"/>
          <w:numId w:val="1011"/>
        </w:numPr>
      </w:pPr>
      <w:r>
        <w:t xml:space="preserve">Chronic kidney disease</w:t>
      </w:r>
    </w:p>
    <w:p>
      <w:pPr>
        <w:pStyle w:val="Compact"/>
        <w:numPr>
          <w:ilvl w:val="2"/>
          <w:numId w:val="1011"/>
        </w:numPr>
      </w:pPr>
      <w:r>
        <w:t xml:space="preserve">Anemia</w:t>
      </w:r>
    </w:p>
    <w:p>
      <w:pPr>
        <w:pStyle w:val="Compact"/>
        <w:numPr>
          <w:ilvl w:val="2"/>
          <w:numId w:val="1011"/>
        </w:numPr>
      </w:pPr>
      <w:r>
        <w:t xml:space="preserve">Coagulopathy</w:t>
      </w:r>
    </w:p>
    <w:p>
      <w:pPr>
        <w:pStyle w:val="Compact"/>
        <w:numPr>
          <w:ilvl w:val="2"/>
          <w:numId w:val="1011"/>
        </w:numPr>
      </w:pPr>
      <w:r>
        <w:t xml:space="preserve">Metastatic Cancer</w:t>
      </w:r>
    </w:p>
    <w:p>
      <w:pPr>
        <w:pStyle w:val="Compact"/>
        <w:numPr>
          <w:ilvl w:val="2"/>
          <w:numId w:val="1011"/>
        </w:numPr>
      </w:pPr>
      <w:r>
        <w:t xml:space="preserve">Dementia</w:t>
      </w:r>
    </w:p>
    <w:p>
      <w:pPr>
        <w:pStyle w:val="Compact"/>
        <w:numPr>
          <w:ilvl w:val="2"/>
          <w:numId w:val="1011"/>
        </w:numPr>
      </w:pPr>
      <w:r>
        <w:t xml:space="preserve">Fluid and electrolyte disorders</w:t>
      </w:r>
    </w:p>
    <w:p>
      <w:pPr>
        <w:pStyle w:val="Compact"/>
        <w:numPr>
          <w:ilvl w:val="2"/>
          <w:numId w:val="1011"/>
        </w:numPr>
      </w:pPr>
      <w:r>
        <w:t xml:space="preserve">Liver disease</w:t>
      </w:r>
    </w:p>
    <w:p>
      <w:pPr>
        <w:pStyle w:val="Compact"/>
        <w:numPr>
          <w:ilvl w:val="2"/>
          <w:numId w:val="1011"/>
        </w:numPr>
      </w:pPr>
      <w:r>
        <w:t xml:space="preserve">Depression</w:t>
      </w:r>
    </w:p>
    <w:p>
      <w:pPr>
        <w:pStyle w:val="Compact"/>
        <w:numPr>
          <w:ilvl w:val="2"/>
          <w:numId w:val="1011"/>
        </w:numPr>
      </w:pPr>
      <w:r>
        <w:t xml:space="preserve">Previous PCI</w:t>
      </w:r>
    </w:p>
    <w:p>
      <w:pPr>
        <w:pStyle w:val="Compact"/>
        <w:numPr>
          <w:ilvl w:val="2"/>
          <w:numId w:val="1011"/>
        </w:numPr>
      </w:pPr>
      <w:r>
        <w:t xml:space="preserve">Previous CABG</w:t>
      </w:r>
    </w:p>
    <w:p>
      <w:pPr>
        <w:pStyle w:val="Compact"/>
        <w:numPr>
          <w:ilvl w:val="2"/>
          <w:numId w:val="1011"/>
        </w:numPr>
      </w:pPr>
      <w:r>
        <w:t xml:space="preserve">Prior MI</w:t>
      </w:r>
    </w:p>
    <w:p>
      <w:pPr>
        <w:pStyle w:val="Compact"/>
        <w:numPr>
          <w:ilvl w:val="2"/>
          <w:numId w:val="1011"/>
        </w:numPr>
      </w:pPr>
      <w:r>
        <w:t xml:space="preserve">Prior Stroke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2"/>
          <w:numId w:val="1013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that resulted in 30 day readmissions were summarized and stratified.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Those udergoing carotid stenting</w:t>
      </w:r>
    </w:p>
    <w:p>
      <w:pPr>
        <w:numPr>
          <w:ilvl w:val="3"/>
          <w:numId w:val="1017"/>
        </w:numPr>
      </w:pPr>
      <w:r>
        <w:t xml:space="preserve">Those udergoing carotid endarterectomy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6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4" w:name="descriptive-analyses"/>
    <w:p>
      <w:pPr>
        <w:pStyle w:val="Heading2"/>
      </w:pPr>
      <w:r>
        <w:t xml:space="preserve">Descriptive Analyses</w:t>
      </w:r>
    </w:p>
    <w:bookmarkStart w:id="22" w:name="X8d54aee7857289a603ff9b11ea77a93667d95ac"/>
    <w:p>
      <w:pPr>
        <w:pStyle w:val="Heading3"/>
      </w:pPr>
      <w:r>
        <w:t xml:space="preserve">Characteristics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228,949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181,601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47,348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131,688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106,785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24,902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97,261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74,816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22,445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64,285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50,705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53,619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13,461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56,682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44,694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37,587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29,966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7,621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22,138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2,188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146,149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111,103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35,046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58,473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45,641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6,534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166,463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126,572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39,891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9,388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42,550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12,608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8,715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3,893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165,572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135,933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29,639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8,041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5,621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22,079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18,053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4,026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1,123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182,492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146,172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36,320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696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19,785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14,181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63,109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49,186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13,923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164,564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132,264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32,299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188,251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152,388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35,863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78,455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64,260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14,195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150,878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123,831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27,046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29,709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92,566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76,268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16,298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19,259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15,769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26,139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51,369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41,091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10,278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52,467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10,447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26,897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30,894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23,393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7,207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5,416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5,571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23,763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16,979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3,084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22,680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17,452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24,341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5,272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34,304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26,367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21,747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66,182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52,241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56,207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39,912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1,716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158,972 (181,837)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139,063 (147,158)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207,627 (240,034)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2,672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824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30,908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21,817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12,526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8,661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6" w:name="multivariable-regression"/>
    <w:p>
      <w:pPr>
        <w:pStyle w:val="Heading2"/>
      </w:pPr>
      <w:r>
        <w:t xml:space="preserve">Multivariable Regression</w:t>
      </w:r>
    </w:p>
    <w:bookmarkStart w:id="25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endarterectomy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stenting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top-causes-of-readmission"/>
    <w:p>
      <w:pPr>
        <w:pStyle w:val="Heading2"/>
      </w:pPr>
      <w:r>
        <w:t xml:space="preserve">Top Causes of Readmission</w:t>
      </w:r>
    </w:p>
    <w:bookmarkStart w:id="27" w:name="Xfd0fde9d3479245ad4aeeaa152866b9dfb1f2e7"/>
    <w:p>
      <w:pPr>
        <w:pStyle w:val="Heading3"/>
      </w:pPr>
      <w:r>
        <w:t xml:space="preserve">Top Causes of Readmission – Carotid Endarterectomy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0.0496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0.0242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0.0201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I97</w:t>
            </w:r>
          </w:p>
        </w:tc>
        <w:tc>
          <w:tcPr/>
          <w:p>
            <w:pPr>
              <w:pStyle w:val="Compact"/>
            </w:pPr>
            <w:r>
              <w:t xml:space="preserve">0.0150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G45</w:t>
            </w:r>
          </w:p>
        </w:tc>
        <w:tc>
          <w:tcPr/>
          <w:p>
            <w:pPr>
              <w:pStyle w:val="Compact"/>
            </w:pPr>
            <w:r>
              <w:t xml:space="preserve">0.0120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0.00938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E11</w:t>
            </w:r>
          </w:p>
        </w:tc>
        <w:tc>
          <w:tcPr/>
          <w:p>
            <w:pPr>
              <w:pStyle w:val="Compact"/>
            </w:pPr>
            <w:r>
              <w:t xml:space="preserve">0.00438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I70</w:t>
            </w:r>
          </w:p>
        </w:tc>
        <w:tc>
          <w:tcPr/>
          <w:p>
            <w:pPr>
              <w:pStyle w:val="Compact"/>
            </w:pPr>
            <w:r>
              <w:t xml:space="preserve">0.00429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D44</w:t>
            </w:r>
          </w:p>
        </w:tc>
        <w:tc>
          <w:tcPr/>
          <w:p>
            <w:pPr>
              <w:pStyle w:val="Compact"/>
            </w:pPr>
            <w:r>
              <w:t xml:space="preserve">0.00369</w:t>
            </w:r>
          </w:p>
        </w:tc>
      </w:tr>
    </w:tbl>
    <w:bookmarkEnd w:id="27"/>
    <w:bookmarkStart w:id="28" w:name="X35eb4c2f2af6830c4fdb9e2152ed17f6db2a639"/>
    <w:p>
      <w:pPr>
        <w:pStyle w:val="Heading3"/>
      </w:pPr>
      <w:r>
        <w:t xml:space="preserve">Top Causes of Readmission – Carotid Stenting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0.639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I67</w:t>
            </w:r>
          </w:p>
        </w:tc>
        <w:tc>
          <w:tcPr/>
          <w:p>
            <w:pPr>
              <w:pStyle w:val="Compac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0.0438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0.0418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0.0245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I77</w:t>
            </w:r>
          </w:p>
        </w:tc>
        <w:tc>
          <w:tcPr/>
          <w:p>
            <w:pPr>
              <w:pStyle w:val="Compact"/>
            </w:pPr>
            <w:r>
              <w:t xml:space="preserve">0.0225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I72</w:t>
            </w:r>
          </w:p>
        </w:tc>
        <w:tc>
          <w:tcPr/>
          <w:p>
            <w:pPr>
              <w:pStyle w:val="Compact"/>
            </w:pPr>
            <w:r>
              <w:t xml:space="preserve">0.0209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I60</w:t>
            </w:r>
          </w:p>
        </w:tc>
        <w:tc>
          <w:tcPr/>
          <w:p>
            <w:pPr>
              <w:pStyle w:val="Compact"/>
            </w:pPr>
            <w:r>
              <w:t xml:space="preserve">0.0207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I70</w:t>
            </w:r>
          </w:p>
        </w:tc>
        <w:tc>
          <w:tcPr/>
          <w:p>
            <w:pPr>
              <w:pStyle w:val="Compact"/>
            </w:pPr>
            <w:r>
              <w:t xml:space="preserve">0.0133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I78</w:t>
            </w:r>
          </w:p>
        </w:tc>
        <w:tc>
          <w:tcPr/>
          <w:p>
            <w:pPr>
              <w:pStyle w:val="Compact"/>
            </w:pPr>
            <w:r>
              <w:t xml:space="preserve">0.0132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CIRCINTERVENTIONS.119.0085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CIRCINTERVENTIONS.119.0085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30-Day Readmissions Following Carotid Endarterectomy and Stenting</dc:title>
  <dc:creator>Eliza Aisha</dc:creator>
  <cp:keywords/>
  <dcterms:created xsi:type="dcterms:W3CDTF">2025-09-02T06:13:57Z</dcterms:created>
  <dcterms:modified xsi:type="dcterms:W3CDTF">2025-09-02T06:13:57Z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2025_June_NRD_A26_30Days</vt:lpwstr>
  </property>
  <property fmtid="{D5CDD505-2E9C-101B-9397-08002B2CF9AE}" pid="12" name="toc-title">
    <vt:lpwstr>Table of contents</vt:lpwstr>
  </property>
</Properties>
</file>