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90-Day Readmissions Following Carotid Endarterectomy and Stenting</w:t>
      </w:r>
    </w:p>
    <w:p>
      <w:pPr>
        <w:pStyle w:val="Subtitle"/>
      </w:pPr>
      <w:r>
        <w:t xml:space="preserve">2025_June_NRD_A26_90Days</w:t>
      </w:r>
    </w:p>
    <w:p>
      <w:pPr>
        <w:pStyle w:val="Author"/>
      </w:pPr>
      <w:r>
        <w:t xml:space="preserve">Eliza Aisha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Lima et al., 2018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90-day all-cause hospital readmission among adults undergoing carotid endarterectomy and stenting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Undergoing carotid endarterectomy and stenting, using CCSR: CAR006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90-day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90-day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Age (categorized: 18–49, 50–64, 65–79, 80+)</w:t>
      </w:r>
    </w:p>
    <w:p>
      <w:pPr>
        <w:numPr>
          <w:ilvl w:val="2"/>
          <w:numId w:val="1013"/>
        </w:numPr>
      </w:pPr>
      <w:r>
        <w:t xml:space="preserve">Sex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pStyle w:val="Compact"/>
        <w:numPr>
          <w:ilvl w:val="2"/>
          <w:numId w:val="1014"/>
        </w:numPr>
      </w:pPr>
      <w:r>
        <w:t xml:space="preserve">Hypertension</w:t>
      </w:r>
    </w:p>
    <w:p>
      <w:pPr>
        <w:pStyle w:val="Compact"/>
        <w:numPr>
          <w:ilvl w:val="2"/>
          <w:numId w:val="1014"/>
        </w:numPr>
      </w:pPr>
      <w:r>
        <w:t xml:space="preserve">Diabetes</w:t>
      </w:r>
    </w:p>
    <w:p>
      <w:pPr>
        <w:pStyle w:val="Compact"/>
        <w:numPr>
          <w:ilvl w:val="2"/>
          <w:numId w:val="1014"/>
        </w:numPr>
      </w:pPr>
      <w:r>
        <w:t xml:space="preserve">Congestive_HF</w:t>
      </w:r>
    </w:p>
    <w:p>
      <w:pPr>
        <w:pStyle w:val="Compact"/>
        <w:numPr>
          <w:ilvl w:val="2"/>
          <w:numId w:val="1014"/>
        </w:numPr>
      </w:pPr>
      <w:r>
        <w:t xml:space="preserve">Hyperlipidemia</w:t>
      </w:r>
    </w:p>
    <w:p>
      <w:pPr>
        <w:pStyle w:val="Compact"/>
        <w:numPr>
          <w:ilvl w:val="2"/>
          <w:numId w:val="1014"/>
        </w:numPr>
      </w:pPr>
      <w:r>
        <w:t xml:space="preserve">Obesity</w:t>
      </w:r>
    </w:p>
    <w:p>
      <w:pPr>
        <w:pStyle w:val="Compact"/>
        <w:numPr>
          <w:ilvl w:val="2"/>
          <w:numId w:val="1014"/>
        </w:numPr>
      </w:pPr>
      <w:r>
        <w:t xml:space="preserve">Coronary artery disease</w:t>
      </w:r>
    </w:p>
    <w:p>
      <w:pPr>
        <w:pStyle w:val="Compact"/>
        <w:numPr>
          <w:ilvl w:val="2"/>
          <w:numId w:val="1014"/>
        </w:numPr>
      </w:pPr>
      <w:r>
        <w:t xml:space="preserve">Valvular disease</w:t>
      </w:r>
    </w:p>
    <w:p>
      <w:pPr>
        <w:pStyle w:val="Compact"/>
        <w:numPr>
          <w:ilvl w:val="2"/>
          <w:numId w:val="1014"/>
        </w:numPr>
      </w:pPr>
      <w:r>
        <w:t xml:space="preserve">Atrial fibrillation</w:t>
      </w:r>
    </w:p>
    <w:p>
      <w:pPr>
        <w:pStyle w:val="Compact"/>
        <w:numPr>
          <w:ilvl w:val="2"/>
          <w:numId w:val="1014"/>
        </w:numPr>
      </w:pPr>
      <w:r>
        <w:t xml:space="preserve">Peripheral vascular disease</w:t>
      </w:r>
    </w:p>
    <w:p>
      <w:pPr>
        <w:pStyle w:val="Compact"/>
        <w:numPr>
          <w:ilvl w:val="2"/>
          <w:numId w:val="1014"/>
        </w:numPr>
      </w:pPr>
      <w:r>
        <w:t xml:space="preserve">Chronic pulmonary disease</w:t>
      </w:r>
    </w:p>
    <w:p>
      <w:pPr>
        <w:pStyle w:val="Compact"/>
        <w:numPr>
          <w:ilvl w:val="2"/>
          <w:numId w:val="1014"/>
        </w:numPr>
      </w:pPr>
      <w:r>
        <w:t xml:space="preserve">Chronic kidney disease</w:t>
      </w:r>
    </w:p>
    <w:p>
      <w:pPr>
        <w:pStyle w:val="Compact"/>
        <w:numPr>
          <w:ilvl w:val="2"/>
          <w:numId w:val="1014"/>
        </w:numPr>
      </w:pPr>
      <w:r>
        <w:t xml:space="preserve">Anemia</w:t>
      </w:r>
    </w:p>
    <w:p>
      <w:pPr>
        <w:pStyle w:val="Compact"/>
        <w:numPr>
          <w:ilvl w:val="2"/>
          <w:numId w:val="1014"/>
        </w:numPr>
      </w:pPr>
      <w:r>
        <w:t xml:space="preserve">Coagulopathy</w:t>
      </w:r>
    </w:p>
    <w:p>
      <w:pPr>
        <w:pStyle w:val="Compact"/>
        <w:numPr>
          <w:ilvl w:val="2"/>
          <w:numId w:val="1014"/>
        </w:numPr>
      </w:pPr>
      <w:r>
        <w:t xml:space="preserve">MetCancer</w:t>
      </w:r>
    </w:p>
    <w:p>
      <w:pPr>
        <w:pStyle w:val="Compact"/>
        <w:numPr>
          <w:ilvl w:val="2"/>
          <w:numId w:val="1014"/>
        </w:numPr>
      </w:pPr>
      <w:r>
        <w:t xml:space="preserve">Dementia</w:t>
      </w:r>
    </w:p>
    <w:p>
      <w:pPr>
        <w:pStyle w:val="Compact"/>
        <w:numPr>
          <w:ilvl w:val="2"/>
          <w:numId w:val="1014"/>
        </w:numPr>
      </w:pPr>
      <w:r>
        <w:t xml:space="preserve">Fluid_electrolyte_disorders</w:t>
      </w:r>
    </w:p>
    <w:p>
      <w:pPr>
        <w:pStyle w:val="Compact"/>
        <w:numPr>
          <w:ilvl w:val="2"/>
          <w:numId w:val="1014"/>
        </w:numPr>
      </w:pPr>
      <w:r>
        <w:t xml:space="preserve">Liver_disease</w:t>
      </w:r>
    </w:p>
    <w:p>
      <w:pPr>
        <w:pStyle w:val="Compact"/>
        <w:numPr>
          <w:ilvl w:val="2"/>
          <w:numId w:val="1014"/>
        </w:numPr>
      </w:pPr>
      <w:r>
        <w:t xml:space="preserve">Depression</w:t>
      </w:r>
    </w:p>
    <w:p>
      <w:pPr>
        <w:pStyle w:val="Compact"/>
        <w:numPr>
          <w:ilvl w:val="2"/>
          <w:numId w:val="1014"/>
        </w:numPr>
      </w:pPr>
      <w:r>
        <w:t xml:space="preserve">PreviousPCI</w:t>
      </w:r>
    </w:p>
    <w:p>
      <w:pPr>
        <w:pStyle w:val="Compact"/>
        <w:numPr>
          <w:ilvl w:val="2"/>
          <w:numId w:val="1014"/>
        </w:numPr>
      </w:pPr>
      <w:r>
        <w:t xml:space="preserve">PreviousCABG</w:t>
      </w:r>
    </w:p>
    <w:p>
      <w:pPr>
        <w:pStyle w:val="Compact"/>
        <w:numPr>
          <w:ilvl w:val="2"/>
          <w:numId w:val="1014"/>
        </w:numPr>
      </w:pPr>
      <w:r>
        <w:t xml:space="preserve">prioMI</w:t>
      </w:r>
    </w:p>
    <w:p>
      <w:pPr>
        <w:pStyle w:val="Compact"/>
        <w:numPr>
          <w:ilvl w:val="2"/>
          <w:numId w:val="1014"/>
        </w:numPr>
      </w:pPr>
      <w:r>
        <w:t xml:space="preserve">PriorStroke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5"/>
        </w:numPr>
      </w:pPr>
      <w:r>
        <w:t xml:space="preserve">Hospital bed size (Small, Medium, Large)</w:t>
      </w:r>
    </w:p>
    <w:p>
      <w:pPr>
        <w:numPr>
          <w:ilvl w:val="2"/>
          <w:numId w:val="1015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2"/>
        </w:numPr>
      </w:pPr>
      <w:r>
        <w:t xml:space="preserve">Disposition and Severity:</w:t>
      </w:r>
    </w:p>
    <w:p>
      <w:pPr>
        <w:numPr>
          <w:ilvl w:val="2"/>
          <w:numId w:val="1016"/>
        </w:numPr>
      </w:pPr>
      <w:r>
        <w:t xml:space="preserve">Discharge disposition</w:t>
      </w:r>
    </w:p>
    <w:p>
      <w:pPr>
        <w:numPr>
          <w:ilvl w:val="2"/>
          <w:numId w:val="1016"/>
        </w:numPr>
      </w:pPr>
      <w:r>
        <w:t xml:space="preserve">Number of comorbidities</w:t>
      </w:r>
    </w:p>
    <w:p>
      <w:pPr>
        <w:numPr>
          <w:ilvl w:val="2"/>
          <w:numId w:val="1016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7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8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7"/>
        </w:numPr>
      </w:pPr>
      <w:r>
        <w:t xml:space="preserve">Descriptive Statistics:</w:t>
      </w:r>
    </w:p>
    <w:p>
      <w:pPr>
        <w:numPr>
          <w:ilvl w:val="2"/>
          <w:numId w:val="1019"/>
        </w:numPr>
      </w:pPr>
      <w:r>
        <w:t xml:space="preserve">Weighted baseline characteristics of index hospitalizations were summarized and stratified by 90-day readmission status to compare patients who were readmitted versus those who were not.</w:t>
      </w:r>
    </w:p>
    <w:p>
      <w:pPr>
        <w:numPr>
          <w:ilvl w:val="2"/>
          <w:numId w:val="1019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20"/>
        </w:numPr>
      </w:pPr>
      <w:r>
        <w:t xml:space="preserve">With 90-day readmission</w:t>
      </w:r>
    </w:p>
    <w:p>
      <w:pPr>
        <w:numPr>
          <w:ilvl w:val="3"/>
          <w:numId w:val="1020"/>
        </w:numPr>
      </w:pPr>
      <w:r>
        <w:t xml:space="preserve">Without readmission</w:t>
      </w:r>
    </w:p>
    <w:p>
      <w:pPr>
        <w:numPr>
          <w:ilvl w:val="2"/>
          <w:numId w:val="1019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2"/>
          <w:numId w:val="1019"/>
        </w:numPr>
      </w:pPr>
      <w:r>
        <w:t xml:space="preserve">The ten most common principle diagnoses for readmission were reported according to decreasing prevalence</w:t>
      </w:r>
    </w:p>
    <w:p>
      <w:pPr>
        <w:numPr>
          <w:ilvl w:val="1"/>
          <w:numId w:val="1017"/>
        </w:numPr>
      </w:pPr>
      <w:r>
        <w:t xml:space="preserve">Multivariable Regression:</w:t>
      </w:r>
    </w:p>
    <w:p>
      <w:pPr>
        <w:numPr>
          <w:ilvl w:val="2"/>
          <w:numId w:val="1021"/>
        </w:numPr>
      </w:pPr>
      <w:r>
        <w:t xml:space="preserve">A survey-weighted logistic regression modeled predictors of 90-day readmission.</w:t>
      </w:r>
    </w:p>
    <w:p>
      <w:pPr>
        <w:numPr>
          <w:ilvl w:val="2"/>
          <w:numId w:val="1021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1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1"/>
    <w:bookmarkStart w:id="23" w:name="descriptive-analyses"/>
    <w:p>
      <w:pPr>
        <w:pStyle w:val="Heading2"/>
      </w:pPr>
      <w:r>
        <w:t xml:space="preserve">Descriptive Analyses</w:t>
      </w:r>
    </w:p>
    <w:bookmarkStart w:id="22" w:name="baseline-characteristics"/>
    <w:p>
      <w:pPr>
        <w:pStyle w:val="Heading3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48,207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39,457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90-day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8,750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3,390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2,848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543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13,605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11,268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2,337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21,908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17,869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4,039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9,304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7,473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27,917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22,914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5,003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20,290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16,543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3,747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14,355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11,598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2,758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13,470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11,008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11,552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9,601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8,087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6,633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3,432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2,737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33,362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27,404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5,959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11,413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9,317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9,246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7,539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37,496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30,667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6,828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1,465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1,251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9,614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8,168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4,279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3,523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31,467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25,330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6,137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2,777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2,375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402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DISPUNIFORM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Home health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8,411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6,669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2,304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2,264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Routine discharge to home/self-care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26,444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22,241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4,203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another short-term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396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SNF / intermediate / other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10,634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7,947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2,687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714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655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8,613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7,556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38,880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31,246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7,633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40,507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32,959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7,548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17,220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13,579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3,641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8,583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6,316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31,226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25,597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5,629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6,878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5,577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17,820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13,924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3,897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4,979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3,869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9,638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7,546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10,609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8,332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2,277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10,946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8,507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2,440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8,519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6,456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2,064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11,884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9,222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3,192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2,498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509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374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2,286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1,743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542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12,322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9,590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2,732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954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6,134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4,777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5,375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4,309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5,585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4,345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4,966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3,889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14,120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11,492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2"/>
    <w:bookmarkEnd w:id="23"/>
    <w:bookmarkStart w:id="26" w:name="X7d0a1c2a05e84965e19936ca624ae03f9f9afcd"/>
    <w:p>
      <w:pPr>
        <w:pStyle w:val="Heading2"/>
      </w:pPr>
      <w:r>
        <w:t xml:space="preserve">Readmission Hospitalization Characteristics</w:t>
      </w:r>
    </w:p>
    <w:bookmarkStart w:id="24" w:name="Xa37a556a6d20fd6b07c73bea42073aeff147ee8"/>
    <w:p>
      <w:pPr>
        <w:pStyle w:val="Heading3"/>
      </w:pPr>
      <w:r>
        <w:t xml:space="preserve">In-Hospital Mortality Among Readmitted Patients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2"/>
        </w:numPr>
      </w:pPr>
      <w:r>
        <w:t xml:space="preserve">Deaths (n): 314</w:t>
      </w:r>
    </w:p>
    <w:p>
      <w:pPr>
        <w:numPr>
          <w:ilvl w:val="0"/>
          <w:numId w:val="1022"/>
        </w:numPr>
      </w:pPr>
      <w:r>
        <w:t xml:space="preserve">Death Rate (%): 3.61%</w:t>
      </w:r>
    </w:p>
    <w:p>
      <w:pPr>
        <w:numPr>
          <w:ilvl w:val="0"/>
          <w:numId w:val="1022"/>
        </w:numPr>
      </w:pPr>
      <w:r>
        <w:t xml:space="preserve">Death Rate (95% CI): 2.98% to 4.23%</w:t>
      </w:r>
    </w:p>
    <w:bookmarkEnd w:id="24"/>
    <w:bookmarkStart w:id="25" w:name="resource-utilization-during-readmission"/>
    <w:p>
      <w:pPr>
        <w:pStyle w:val="Heading3"/>
      </w:pPr>
      <w:r>
        <w:t xml:space="preserve">Resource Utilization During Readmission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3"/>
        </w:numPr>
      </w:pPr>
      <w:r>
        <w:t xml:space="preserve">Median Length of Stay (IQR), days: 3 (IQR: 2–6)</w:t>
      </w:r>
    </w:p>
    <w:p>
      <w:pPr>
        <w:numPr>
          <w:ilvl w:val="0"/>
          <w:numId w:val="1023"/>
        </w:numPr>
      </w:pPr>
      <w:r>
        <w:t xml:space="preserve">Median Total Charges (IQR): $38,973 (IQR: $22,234–$73,794)</w:t>
      </w:r>
    </w:p>
    <w:bookmarkEnd w:id="25"/>
    <w:bookmarkEnd w:id="26"/>
    <w:bookmarkStart w:id="27" w:name="top-causes-of-readmission"/>
    <w:p>
      <w:pPr>
        <w:pStyle w:val="Heading2"/>
      </w:pPr>
      <w:r>
        <w:t xml:space="preserve">Top causes of readmission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6"/>
        <w:gridCol w:w="5633"/>
        <w:gridCol w:w="97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Diagnosis Code</w:t>
            </w:r>
          </w:p>
        </w:tc>
        <w:tc>
          <w:tcPr/>
          <w:p>
            <w:pPr>
              <w:pStyle w:val="Compact"/>
            </w:pPr>
            <w:r>
              <w:t xml:space="preserve">ICD-10 Description</w:t>
            </w:r>
          </w:p>
        </w:tc>
        <w:tc>
          <w:tcPr/>
          <w:p>
            <w:pPr>
              <w:pStyle w:val="Compact"/>
            </w:pPr>
            <w:r>
              <w:t xml:space="preserve">Proportion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I65</w:t>
            </w:r>
          </w:p>
        </w:tc>
        <w:tc>
          <w:tcPr/>
          <w:p>
            <w:pPr>
              <w:pStyle w:val="Compact"/>
            </w:pPr>
            <w:r>
              <w:t xml:space="preserve">Occlusion and stenosis of precerebral arteries, not resulting in cerebral infarction</w:t>
            </w:r>
          </w:p>
        </w:tc>
        <w:tc>
          <w:tcPr/>
          <w:p>
            <w:pPr>
              <w:pStyle w:val="Compact"/>
            </w:pPr>
            <w:r>
              <w:t xml:space="preserve">0.0881</w:t>
            </w:r>
          </w:p>
        </w:tc>
      </w:tr>
      <w:tr>
        <w:tc>
          <w:tcPr/>
          <w:p>
            <w:pPr>
              <w:pStyle w:val="Compact"/>
            </w:pPr>
            <w:r>
              <w:t xml:space="preserve">A41</w:t>
            </w:r>
          </w:p>
        </w:tc>
        <w:tc>
          <w:tcPr/>
          <w:p>
            <w:pPr>
              <w:pStyle w:val="Compact"/>
            </w:pPr>
            <w:r>
              <w:t xml:space="preserve">Other sepsis</w:t>
            </w:r>
          </w:p>
        </w:tc>
        <w:tc>
          <w:tcPr/>
          <w:p>
            <w:pPr>
              <w:pStyle w:val="Compact"/>
            </w:pPr>
            <w:r>
              <w:t xml:space="preserve">0.0857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I63</w:t>
            </w:r>
          </w:p>
        </w:tc>
        <w:tc>
          <w:tcPr/>
          <w:p>
            <w:pPr>
              <w:pStyle w:val="Compact"/>
            </w:pPr>
            <w:r>
              <w:t xml:space="preserve">Cerebral infarction</w:t>
            </w:r>
          </w:p>
        </w:tc>
        <w:tc>
          <w:tcPr/>
          <w:p>
            <w:pPr>
              <w:pStyle w:val="Compact"/>
            </w:pPr>
            <w:r>
              <w:t xml:space="preserve">0.0787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I69</w:t>
            </w:r>
          </w:p>
        </w:tc>
        <w:tc>
          <w:tcPr/>
          <w:p>
            <w:pPr>
              <w:pStyle w:val="Compact"/>
            </w:pPr>
            <w:r>
              <w:t xml:space="preserve">Sequelae of cerebrovascular disease</w:t>
            </w:r>
          </w:p>
        </w:tc>
        <w:tc>
          <w:tcPr/>
          <w:p>
            <w:pPr>
              <w:pStyle w:val="Compact"/>
            </w:pPr>
            <w:r>
              <w:t xml:space="preserve">0.0383</w:t>
            </w:r>
          </w:p>
        </w:tc>
      </w:tr>
      <w:tr>
        <w:tc>
          <w:tcPr/>
          <w:p>
            <w:pPr>
              <w:pStyle w:val="Compact"/>
            </w:pPr>
            <w:r>
              <w:t xml:space="preserve">I25</w:t>
            </w:r>
          </w:p>
        </w:tc>
        <w:tc>
          <w:tcPr/>
          <w:p>
            <w:pPr>
              <w:pStyle w:val="Compact"/>
            </w:pPr>
            <w:r>
              <w:t xml:space="preserve">Chronic ischemic heart disease</w:t>
            </w:r>
          </w:p>
        </w:tc>
        <w:tc>
          <w:tcPr/>
          <w:p>
            <w:pPr>
              <w:pStyle w:val="Compact"/>
            </w:pPr>
            <w:r>
              <w:t xml:space="preserve">0.0291</w:t>
            </w:r>
          </w:p>
        </w:tc>
      </w:tr>
      <w:tr>
        <w:tc>
          <w:tcPr/>
          <w:p>
            <w:pPr>
              <w:pStyle w:val="Compact"/>
            </w:pPr>
            <w:r>
              <w:t xml:space="preserve">N17</w:t>
            </w:r>
          </w:p>
        </w:tc>
        <w:tc>
          <w:tcPr/>
          <w:p>
            <w:pPr>
              <w:pStyle w:val="Compact"/>
            </w:pPr>
            <w:r>
              <w:t xml:space="preserve">Acute kidney failure</w:t>
            </w:r>
          </w:p>
        </w:tc>
        <w:tc>
          <w:tcPr/>
          <w:p>
            <w:pPr>
              <w:pStyle w:val="Compact"/>
            </w:pPr>
            <w:r>
              <w:t xml:space="preserve">0.0253</w:t>
            </w:r>
          </w:p>
        </w:tc>
      </w:tr>
      <w:tr>
        <w:tc>
          <w:tcPr/>
          <w:p>
            <w:pPr>
              <w:pStyle w:val="Compact"/>
            </w:pPr>
            <w:r>
              <w:t xml:space="preserve">K92</w:t>
            </w:r>
          </w:p>
        </w:tc>
        <w:tc>
          <w:tcPr/>
          <w:p>
            <w:pPr>
              <w:pStyle w:val="Compact"/>
            </w:pPr>
            <w:r>
              <w:t xml:space="preserve">Other diseases of the digestive system</w:t>
            </w:r>
          </w:p>
        </w:tc>
        <w:tc>
          <w:tcPr/>
          <w:p>
            <w:pPr>
              <w:pStyle w:val="Compact"/>
            </w:pPr>
            <w:r>
              <w:t xml:space="preserve">0.0229</w:t>
            </w:r>
          </w:p>
        </w:tc>
      </w:tr>
      <w:tr>
        <w:tc>
          <w:tcPr/>
          <w:p>
            <w:pPr>
              <w:pStyle w:val="Compact"/>
            </w:pPr>
            <w:r>
              <w:t xml:space="preserve">I61</w:t>
            </w:r>
          </w:p>
        </w:tc>
        <w:tc>
          <w:tcPr/>
          <w:p>
            <w:pPr>
              <w:pStyle w:val="Compact"/>
            </w:pPr>
            <w:r>
              <w:t xml:space="preserve">Nontraumatic intracerebral hemorrhage</w:t>
            </w:r>
          </w:p>
        </w:tc>
        <w:tc>
          <w:tcPr/>
          <w:p>
            <w:pPr>
              <w:pStyle w:val="Compact"/>
            </w:pPr>
            <w:r>
              <w:t xml:space="preserve">0.0213</w:t>
            </w:r>
          </w:p>
        </w:tc>
      </w:tr>
      <w:tr>
        <w:tc>
          <w:tcPr/>
          <w:p>
            <w:pPr>
              <w:pStyle w:val="Compact"/>
            </w:pPr>
            <w:r>
              <w:t xml:space="preserve">I50</w:t>
            </w:r>
          </w:p>
        </w:tc>
        <w:tc>
          <w:tcPr/>
          <w:p>
            <w:pPr>
              <w:pStyle w:val="Compac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</w:pPr>
            <w:r>
              <w:t xml:space="preserve">0.0212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I21</w:t>
            </w:r>
          </w:p>
        </w:tc>
        <w:tc>
          <w:tcPr/>
          <w:p>
            <w:pPr>
              <w:pStyle w:val="Compact"/>
            </w:pPr>
            <w:r>
              <w:t xml:space="preserve">Acute myocardial infarction</w:t>
            </w:r>
          </w:p>
        </w:tc>
        <w:tc>
          <w:tcPr/>
          <w:p>
            <w:pPr>
              <w:pStyle w:val="Compact"/>
            </w:pPr>
            <w:r>
              <w:t xml:space="preserve">0.0200</w:t>
            </w:r>
          </w:p>
        </w:tc>
      </w:tr>
    </w:tbl>
    <w:bookmarkEnd w:id="27"/>
    <w:bookmarkStart w:id="29" w:name="multivariable-regression"/>
    <w:p>
      <w:pPr>
        <w:pStyle w:val="Heading2"/>
      </w:pPr>
      <w:r>
        <w:t xml:space="preserve">Multivariable Regression</w:t>
      </w:r>
    </w:p>
    <w:bookmarkStart w:id="28" w:name="day-readmission"/>
    <w:p>
      <w:pPr>
        <w:pStyle w:val="Heading3"/>
      </w:pPr>
      <w:r>
        <w:t xml:space="preserve">90-Day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DISPUNIFORM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Home health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Routine discharge to home/self-care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another short-term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SNF / intermediate / other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1.38, 3.00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1.33, 2.43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PCI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CABG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hajournals.org/doi/10.1161/CIRCINTERVENTIONS.119.0085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hajournals.org/doi/10.1161/CIRCINTERVENTIONS.119.0085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90-Day Readmissions Following Carotid Endarterectomy and Stenting</dc:title>
  <dc:creator>Eliza Aisha</dc:creator>
  <cp:keywords/>
  <dcterms:created xsi:type="dcterms:W3CDTF">2025-07-31T05:07:48Z</dcterms:created>
  <dcterms:modified xsi:type="dcterms:W3CDTF">2025-07-31T05:07:48Z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2025_June_NRD_A26_90Days</vt:lpwstr>
  </property>
  <property fmtid="{D5CDD505-2E9C-101B-9397-08002B2CF9AE}" pid="12" name="toc-title">
    <vt:lpwstr>Table of contents</vt:lpwstr>
  </property>
</Properties>
</file>