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90-Day Readmissions Following Carotid Endarterectomy and Stenting</w:t>
      </w:r>
    </w:p>
    <w:p>
      <w:pPr>
        <w:pStyle w:val="Subtitle"/>
      </w:pPr>
      <w:r>
        <w:t xml:space="preserve">2025_June_NRD_A26_90Days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Lima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90-day all-cause hospital readmission among adults hospitalized with undergoing carotid endarterectomy and stenting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Undergoing carotid endarterectomy and stenting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90-day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Outcomes:</w:t>
      </w:r>
    </w:p>
    <w:p>
      <w:pPr>
        <w:pStyle w:val="Compact"/>
        <w:numPr>
          <w:ilvl w:val="2"/>
          <w:numId w:val="1005"/>
        </w:numPr>
      </w:pPr>
      <w:r>
        <w:t xml:space="preserve">90-day readmission for coronary stenting vs endarterectomy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9"/>
        </w:numPr>
      </w:pPr>
      <w:r>
        <w:t xml:space="preserve">Demographic &amp; Socioeconomic Factors:</w:t>
      </w:r>
    </w:p>
    <w:p>
      <w:pPr>
        <w:numPr>
          <w:ilvl w:val="2"/>
          <w:numId w:val="1010"/>
        </w:numPr>
      </w:pPr>
      <w:r>
        <w:t xml:space="preserve">Age</w:t>
      </w:r>
    </w:p>
    <w:p>
      <w:pPr>
        <w:numPr>
          <w:ilvl w:val="2"/>
          <w:numId w:val="1010"/>
        </w:numPr>
      </w:pPr>
      <w:r>
        <w:t xml:space="preserve">Sex</w:t>
      </w:r>
    </w:p>
    <w:p>
      <w:pPr>
        <w:numPr>
          <w:ilvl w:val="2"/>
          <w:numId w:val="1010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0"/>
        </w:numPr>
      </w:pPr>
      <w:r>
        <w:t xml:space="preserve">ZIP-based median income quartile</w:t>
      </w:r>
    </w:p>
    <w:p>
      <w:pPr>
        <w:numPr>
          <w:ilvl w:val="1"/>
          <w:numId w:val="1009"/>
        </w:numPr>
      </w:pPr>
      <w:r>
        <w:t xml:space="preserve">Clinical Characteristics:</w:t>
      </w:r>
    </w:p>
    <w:p>
      <w:pPr>
        <w:pStyle w:val="Compact"/>
        <w:numPr>
          <w:ilvl w:val="2"/>
          <w:numId w:val="1011"/>
        </w:numPr>
      </w:pPr>
      <w:r>
        <w:t xml:space="preserve">Hypertension</w:t>
      </w:r>
    </w:p>
    <w:p>
      <w:pPr>
        <w:pStyle w:val="Compact"/>
        <w:numPr>
          <w:ilvl w:val="2"/>
          <w:numId w:val="1011"/>
        </w:numPr>
      </w:pPr>
      <w:r>
        <w:t xml:space="preserve">Diabetes</w:t>
      </w:r>
    </w:p>
    <w:p>
      <w:pPr>
        <w:pStyle w:val="Compact"/>
        <w:numPr>
          <w:ilvl w:val="2"/>
          <w:numId w:val="1011"/>
        </w:numPr>
      </w:pPr>
      <w:r>
        <w:t xml:space="preserve">Congestive heart failure</w:t>
      </w:r>
    </w:p>
    <w:p>
      <w:pPr>
        <w:pStyle w:val="Compact"/>
        <w:numPr>
          <w:ilvl w:val="2"/>
          <w:numId w:val="1011"/>
        </w:numPr>
      </w:pPr>
      <w:r>
        <w:t xml:space="preserve">Hyperlipidemia</w:t>
      </w:r>
    </w:p>
    <w:p>
      <w:pPr>
        <w:pStyle w:val="Compact"/>
        <w:numPr>
          <w:ilvl w:val="2"/>
          <w:numId w:val="1011"/>
        </w:numPr>
      </w:pPr>
      <w:r>
        <w:t xml:space="preserve">Obesity</w:t>
      </w:r>
    </w:p>
    <w:p>
      <w:pPr>
        <w:pStyle w:val="Compact"/>
        <w:numPr>
          <w:ilvl w:val="2"/>
          <w:numId w:val="1011"/>
        </w:numPr>
      </w:pPr>
      <w:r>
        <w:t xml:space="preserve">Coronary artery disease</w:t>
      </w:r>
    </w:p>
    <w:p>
      <w:pPr>
        <w:pStyle w:val="Compact"/>
        <w:numPr>
          <w:ilvl w:val="2"/>
          <w:numId w:val="1011"/>
        </w:numPr>
      </w:pPr>
      <w:r>
        <w:t xml:space="preserve">Valvular disease</w:t>
      </w:r>
    </w:p>
    <w:p>
      <w:pPr>
        <w:pStyle w:val="Compact"/>
        <w:numPr>
          <w:ilvl w:val="2"/>
          <w:numId w:val="1011"/>
        </w:numPr>
      </w:pPr>
      <w:r>
        <w:t xml:space="preserve">Atrial fibrillation</w:t>
      </w:r>
    </w:p>
    <w:p>
      <w:pPr>
        <w:pStyle w:val="Compact"/>
        <w:numPr>
          <w:ilvl w:val="2"/>
          <w:numId w:val="1011"/>
        </w:numPr>
      </w:pPr>
      <w:r>
        <w:t xml:space="preserve">Peripheral vascular disease</w:t>
      </w:r>
    </w:p>
    <w:p>
      <w:pPr>
        <w:pStyle w:val="Compact"/>
        <w:numPr>
          <w:ilvl w:val="2"/>
          <w:numId w:val="1011"/>
        </w:numPr>
      </w:pPr>
      <w:r>
        <w:t xml:space="preserve">Chronic pulmonary disease</w:t>
      </w:r>
    </w:p>
    <w:p>
      <w:pPr>
        <w:pStyle w:val="Compact"/>
        <w:numPr>
          <w:ilvl w:val="2"/>
          <w:numId w:val="1011"/>
        </w:numPr>
      </w:pPr>
      <w:r>
        <w:t xml:space="preserve">Chronic kidney disease</w:t>
      </w:r>
    </w:p>
    <w:p>
      <w:pPr>
        <w:pStyle w:val="Compact"/>
        <w:numPr>
          <w:ilvl w:val="2"/>
          <w:numId w:val="1011"/>
        </w:numPr>
      </w:pPr>
      <w:r>
        <w:t xml:space="preserve">Anemia</w:t>
      </w:r>
    </w:p>
    <w:p>
      <w:pPr>
        <w:pStyle w:val="Compact"/>
        <w:numPr>
          <w:ilvl w:val="2"/>
          <w:numId w:val="1011"/>
        </w:numPr>
      </w:pPr>
      <w:r>
        <w:t xml:space="preserve">Coagulopathy</w:t>
      </w:r>
    </w:p>
    <w:p>
      <w:pPr>
        <w:pStyle w:val="Compact"/>
        <w:numPr>
          <w:ilvl w:val="2"/>
          <w:numId w:val="1011"/>
        </w:numPr>
      </w:pPr>
      <w:r>
        <w:t xml:space="preserve">Metastatic Cancer</w:t>
      </w:r>
    </w:p>
    <w:p>
      <w:pPr>
        <w:pStyle w:val="Compact"/>
        <w:numPr>
          <w:ilvl w:val="2"/>
          <w:numId w:val="1011"/>
        </w:numPr>
      </w:pPr>
      <w:r>
        <w:t xml:space="preserve">Dementia</w:t>
      </w:r>
    </w:p>
    <w:p>
      <w:pPr>
        <w:pStyle w:val="Compact"/>
        <w:numPr>
          <w:ilvl w:val="2"/>
          <w:numId w:val="1011"/>
        </w:numPr>
      </w:pPr>
      <w:r>
        <w:t xml:space="preserve">Fluid and electrolyte disorders</w:t>
      </w:r>
    </w:p>
    <w:p>
      <w:pPr>
        <w:pStyle w:val="Compact"/>
        <w:numPr>
          <w:ilvl w:val="2"/>
          <w:numId w:val="1011"/>
        </w:numPr>
      </w:pPr>
      <w:r>
        <w:t xml:space="preserve">Liver disease</w:t>
      </w:r>
    </w:p>
    <w:p>
      <w:pPr>
        <w:pStyle w:val="Compact"/>
        <w:numPr>
          <w:ilvl w:val="2"/>
          <w:numId w:val="1011"/>
        </w:numPr>
      </w:pPr>
      <w:r>
        <w:t xml:space="preserve">Depression</w:t>
      </w:r>
    </w:p>
    <w:p>
      <w:pPr>
        <w:pStyle w:val="Compact"/>
        <w:numPr>
          <w:ilvl w:val="2"/>
          <w:numId w:val="1011"/>
        </w:numPr>
      </w:pPr>
      <w:r>
        <w:t xml:space="preserve">Previous PCI</w:t>
      </w:r>
    </w:p>
    <w:p>
      <w:pPr>
        <w:pStyle w:val="Compact"/>
        <w:numPr>
          <w:ilvl w:val="2"/>
          <w:numId w:val="1011"/>
        </w:numPr>
      </w:pPr>
      <w:r>
        <w:t xml:space="preserve">Previous CABG</w:t>
      </w:r>
    </w:p>
    <w:p>
      <w:pPr>
        <w:pStyle w:val="Compact"/>
        <w:numPr>
          <w:ilvl w:val="2"/>
          <w:numId w:val="1011"/>
        </w:numPr>
      </w:pPr>
      <w:r>
        <w:t xml:space="preserve">Prior MI</w:t>
      </w:r>
    </w:p>
    <w:p>
      <w:pPr>
        <w:pStyle w:val="Compact"/>
        <w:numPr>
          <w:ilvl w:val="2"/>
          <w:numId w:val="1011"/>
        </w:numPr>
      </w:pPr>
      <w:r>
        <w:t xml:space="preserve">Prior Stroke</w:t>
      </w:r>
    </w:p>
    <w:p>
      <w:pPr>
        <w:numPr>
          <w:ilvl w:val="1"/>
          <w:numId w:val="1009"/>
        </w:numPr>
      </w:pPr>
      <w:r>
        <w:t xml:space="preserve">Hospital Characteristics:</w:t>
      </w:r>
    </w:p>
    <w:p>
      <w:pPr>
        <w:numPr>
          <w:ilvl w:val="2"/>
          <w:numId w:val="1012"/>
        </w:numPr>
      </w:pPr>
      <w:r>
        <w:t xml:space="preserve">Hospital bed size (Small, Medium, Large)</w:t>
      </w:r>
    </w:p>
    <w:p>
      <w:pPr>
        <w:numPr>
          <w:ilvl w:val="2"/>
          <w:numId w:val="101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09"/>
        </w:numPr>
      </w:pPr>
      <w:r>
        <w:t xml:space="preserve">Disposition and Severity:</w:t>
      </w:r>
    </w:p>
    <w:p>
      <w:pPr>
        <w:numPr>
          <w:ilvl w:val="2"/>
          <w:numId w:val="1013"/>
        </w:numPr>
      </w:pPr>
      <w:r>
        <w:t xml:space="preserve">Discharge disposition</w:t>
      </w:r>
    </w:p>
    <w:p>
      <w:pPr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2"/>
          <w:numId w:val="1013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5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4"/>
        </w:numPr>
      </w:pPr>
      <w:r>
        <w:t xml:space="preserve">Descriptive Statistics:</w:t>
      </w:r>
    </w:p>
    <w:p>
      <w:pPr>
        <w:numPr>
          <w:ilvl w:val="2"/>
          <w:numId w:val="1016"/>
        </w:numPr>
      </w:pPr>
      <w:r>
        <w:t xml:space="preserve">Weighted baseline characteristics of index hospitalizations that resulted in 90 day readmissions were summarized and stratified.</w:t>
      </w:r>
    </w:p>
    <w:p>
      <w:pPr>
        <w:numPr>
          <w:ilvl w:val="2"/>
          <w:numId w:val="1016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7"/>
        </w:numPr>
      </w:pPr>
      <w:r>
        <w:t xml:space="preserve">Those udergoing carotid stenting</w:t>
      </w:r>
    </w:p>
    <w:p>
      <w:pPr>
        <w:numPr>
          <w:ilvl w:val="3"/>
          <w:numId w:val="1017"/>
        </w:numPr>
      </w:pPr>
      <w:r>
        <w:t xml:space="preserve">Those udergoing carotid endarterectomy</w:t>
      </w:r>
    </w:p>
    <w:p>
      <w:pPr>
        <w:numPr>
          <w:ilvl w:val="2"/>
          <w:numId w:val="1016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6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1"/>
          <w:numId w:val="1014"/>
        </w:numPr>
      </w:pPr>
      <w:r>
        <w:t xml:space="preserve">Multivariable Regression:</w:t>
      </w:r>
    </w:p>
    <w:p>
      <w:pPr>
        <w:numPr>
          <w:ilvl w:val="2"/>
          <w:numId w:val="1018"/>
        </w:numPr>
      </w:pPr>
      <w:r>
        <w:t xml:space="preserve">A survey-weighted logistic regression modeled predictors of 90-day readmission.</w:t>
      </w:r>
    </w:p>
    <w:p>
      <w:pPr>
        <w:numPr>
          <w:ilvl w:val="2"/>
          <w:numId w:val="101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8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4" w:name="descriptive-analyses"/>
    <w:p>
      <w:pPr>
        <w:pStyle w:val="Heading2"/>
      </w:pPr>
      <w:r>
        <w:t xml:space="preserve">Descriptive Analyses</w:t>
      </w:r>
    </w:p>
    <w:bookmarkStart w:id="22" w:name="X8d54aee7857289a603ff9b11ea77a93667d95ac"/>
    <w:p>
      <w:pPr>
        <w:pStyle w:val="Heading3"/>
      </w:pPr>
      <w:r>
        <w:t xml:space="preserve">Characteristics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228,949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endarterectomy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181,601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stenting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47,348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131,688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106,785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24,902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97,261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74,816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22,445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64,285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50,705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13,580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67,080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53,619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13,461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56,682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44,694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11,988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37,587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29,966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7,621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22,138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2,188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146,149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111,103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35,046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58,473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45,641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6,534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166,463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126,572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39,891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10,310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9,388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42,550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12,608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8,715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3,893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165,572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135,933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29,639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8,041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5,621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22,079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18,053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4,026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1,123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182,492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146,172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36,320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696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19,785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14,181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63,109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49,186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13,923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164,564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132,264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32,299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188,251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152,388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35,863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78,455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64,260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14,195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22,505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150,878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123,831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27,046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29,709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92,566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76,268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16,298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19,259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15,769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3,489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26,139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51,369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41,091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10,278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52,467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42,020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10,447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26,897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30,894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23,393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7,207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5,416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968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5,571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23,763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16,979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3,084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22,680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17,452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24,341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5,272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34,304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26,367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21,747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66,182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52,241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46,481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endarterectomy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stenting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13,418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2,027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157,249 (178,388)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138,216 (146,852)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204,055 (232,313)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7,992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678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7,497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10,281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End w:id="24"/>
    <w:bookmarkStart w:id="26" w:name="multivariable-regression"/>
    <w:p>
      <w:pPr>
        <w:pStyle w:val="Heading2"/>
      </w:pPr>
      <w:r>
        <w:t xml:space="preserve">Multivariable Regression</w:t>
      </w:r>
    </w:p>
    <w:bookmarkStart w:id="25" w:name="day-readmission"/>
    <w:p>
      <w:pPr>
        <w:pStyle w:val="Heading3"/>
      </w:pPr>
      <w:r>
        <w:t xml:space="preserve">90-Day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Carotid endarterectomy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Carotid stenting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top-causes-of-readmission"/>
    <w:p>
      <w:pPr>
        <w:pStyle w:val="Heading2"/>
      </w:pPr>
      <w:r>
        <w:t xml:space="preserve">Top Causes of Readmission</w:t>
      </w:r>
    </w:p>
    <w:bookmarkStart w:id="27" w:name="Xfd0fde9d3479245ad4aeeaa152866b9dfb1f2e7"/>
    <w:p>
      <w:pPr>
        <w:pStyle w:val="Heading3"/>
      </w:pPr>
      <w:r>
        <w:t xml:space="preserve">Top Causes of Readmission – Carotid Endarterectomy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0.0259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0.0117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I21</w:t>
            </w:r>
          </w:p>
        </w:tc>
        <w:tc>
          <w:tcPr/>
          <w:p>
            <w:pPr>
              <w:pStyle w:val="Compact"/>
            </w:pPr>
            <w:r>
              <w:t xml:space="preserve">0.00602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0.00464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I97</w:t>
            </w:r>
          </w:p>
        </w:tc>
        <w:tc>
          <w:tcPr/>
          <w:p>
            <w:pPr>
              <w:pStyle w:val="Compact"/>
            </w:pPr>
            <w:r>
              <w:t xml:space="preserve">0.00441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G45</w:t>
            </w:r>
          </w:p>
        </w:tc>
        <w:tc>
          <w:tcPr/>
          <w:p>
            <w:pPr>
              <w:pStyle w:val="Compact"/>
            </w:pPr>
            <w:r>
              <w:t xml:space="preserve">0.00295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D64</w:t>
            </w:r>
          </w:p>
        </w:tc>
        <w:tc>
          <w:tcPr/>
          <w:p>
            <w:pPr>
              <w:pStyle w:val="Compact"/>
            </w:pPr>
            <w:r>
              <w:t xml:space="preserve">0.00174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E11</w:t>
            </w:r>
          </w:p>
        </w:tc>
        <w:tc>
          <w:tcPr/>
          <w:p>
            <w:pPr>
              <w:pStyle w:val="Compact"/>
            </w:pPr>
            <w:r>
              <w:t xml:space="preserve">0.00161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D44</w:t>
            </w:r>
          </w:p>
        </w:tc>
        <w:tc>
          <w:tcPr/>
          <w:p>
            <w:pPr>
              <w:pStyle w:val="Compact"/>
            </w:pPr>
            <w:r>
              <w:t xml:space="preserve">0.00135</w:t>
            </w:r>
          </w:p>
        </w:tc>
      </w:tr>
    </w:tbl>
    <w:bookmarkEnd w:id="27"/>
    <w:bookmarkStart w:id="28" w:name="X35eb4c2f2af6830c4fdb9e2152ed17f6db2a639"/>
    <w:p>
      <w:pPr>
        <w:pStyle w:val="Heading3"/>
      </w:pPr>
      <w:r>
        <w:t xml:space="preserve">Top Causes of Readmission – Carotid Stenting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I67</w:t>
            </w:r>
          </w:p>
        </w:tc>
        <w:tc>
          <w:tcPr/>
          <w:p>
            <w:pPr>
              <w:pStyle w:val="Compact"/>
            </w:pPr>
            <w:r>
              <w:t xml:space="preserve">0.141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0.0448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0.0287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I72</w:t>
            </w:r>
          </w:p>
        </w:tc>
        <w:tc>
          <w:tcPr/>
          <w:p>
            <w:pPr>
              <w:pStyle w:val="Compact"/>
            </w:pPr>
            <w:r>
              <w:t xml:space="preserve">0.0258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I60</w:t>
            </w:r>
          </w:p>
        </w:tc>
        <w:tc>
          <w:tcPr/>
          <w:p>
            <w:pPr>
              <w:pStyle w:val="Compact"/>
            </w:pPr>
            <w:r>
              <w:t xml:space="preserve">0.0167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0.0118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I77</w:t>
            </w:r>
          </w:p>
        </w:tc>
        <w:tc>
          <w:tcPr/>
          <w:p>
            <w:pPr>
              <w:pStyle w:val="Compact"/>
            </w:pPr>
            <w:r>
              <w:t xml:space="preserve">0.00844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G45</w:t>
            </w:r>
          </w:p>
        </w:tc>
        <w:tc>
          <w:tcPr/>
          <w:p>
            <w:pPr>
              <w:pStyle w:val="Compact"/>
            </w:pPr>
            <w:r>
              <w:t xml:space="preserve">0.00757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I70</w:t>
            </w:r>
          </w:p>
        </w:tc>
        <w:tc>
          <w:tcPr/>
          <w:p>
            <w:pPr>
              <w:pStyle w:val="Compact"/>
            </w:pPr>
            <w:r>
              <w:t xml:space="preserve">0.00457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CIRCINTERVENTIONS.119.0085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CIRCINTERVENTIONS.119.0085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90-Day Readmissions Following Carotid Endarterectomy and Stenting</dc:title>
  <dc:creator>Eliza Aisha</dc:creator>
  <cp:keywords/>
  <dcterms:created xsi:type="dcterms:W3CDTF">2025-09-02T09:14:59Z</dcterms:created>
  <dcterms:modified xsi:type="dcterms:W3CDTF">2025-09-02T09:14:59Z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2025_June_NRD_A26_90Days</vt:lpwstr>
  </property>
  <property fmtid="{D5CDD505-2E9C-101B-9397-08002B2CF9AE}" pid="12" name="toc-title">
    <vt:lpwstr>Table of contents</vt:lpwstr>
  </property>
</Properties>
</file>