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90-Day Readmissions After Pancreaticoduodenectomy For Pancreatic Cancer</w:t>
      </w:r>
    </w:p>
    <w:p>
      <w:pPr>
        <w:pStyle w:val="Subtitle"/>
      </w:pPr>
      <w:r>
        <w:t xml:space="preserve">2025_June_NRD_A27_90Days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Aguayo et al., 2020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90-day all-cause hospital readmission among adults hospitalized with pancreatic cancer undergoing pancreaticoduodenectomy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Had a diagnosis of pancreatic cancer (C25)</w:t>
      </w:r>
    </w:p>
    <w:p>
      <w:pPr>
        <w:numPr>
          <w:ilvl w:val="1"/>
          <w:numId w:val="1003"/>
        </w:numPr>
      </w:pPr>
      <w:r>
        <w:t xml:space="preserve">Undergoing pancreaticoduodenectomy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90-day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90-day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pStyle w:val="Compact"/>
        <w:numPr>
          <w:ilvl w:val="2"/>
          <w:numId w:val="1014"/>
        </w:numPr>
      </w:pPr>
      <w:r>
        <w:t xml:space="preserve">Elixhauser comorbidity index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6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7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6"/>
        </w:numPr>
      </w:pPr>
      <w:r>
        <w:t xml:space="preserve">Descriptive Statistics:</w:t>
      </w:r>
    </w:p>
    <w:p>
      <w:pPr>
        <w:numPr>
          <w:ilvl w:val="2"/>
          <w:numId w:val="1018"/>
        </w:numPr>
      </w:pPr>
      <w:r>
        <w:t xml:space="preserve">Weighted baseline characteristics of index hospitalizations were summarized and stratified by 90-day readmission status to compare patients who were readmitted versus those who were not.</w:t>
      </w:r>
    </w:p>
    <w:p>
      <w:pPr>
        <w:numPr>
          <w:ilvl w:val="2"/>
          <w:numId w:val="1018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9"/>
        </w:numPr>
      </w:pPr>
      <w:r>
        <w:t xml:space="preserve">With 90-day readmission</w:t>
      </w:r>
    </w:p>
    <w:p>
      <w:pPr>
        <w:numPr>
          <w:ilvl w:val="3"/>
          <w:numId w:val="1019"/>
        </w:numPr>
      </w:pPr>
      <w:r>
        <w:t xml:space="preserve">Without readmission</w:t>
      </w:r>
    </w:p>
    <w:p>
      <w:pPr>
        <w:numPr>
          <w:ilvl w:val="2"/>
          <w:numId w:val="1018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2"/>
          <w:numId w:val="1018"/>
        </w:numPr>
      </w:pPr>
      <w:r>
        <w:t xml:space="preserve">The five most common principle diagnoses for readmission were reported according to decreasing prevalence</w:t>
      </w:r>
    </w:p>
    <w:p>
      <w:pPr>
        <w:numPr>
          <w:ilvl w:val="1"/>
          <w:numId w:val="1016"/>
        </w:numPr>
      </w:pPr>
      <w:r>
        <w:t xml:space="preserve">Multivariable Regression:</w:t>
      </w:r>
    </w:p>
    <w:p>
      <w:pPr>
        <w:numPr>
          <w:ilvl w:val="2"/>
          <w:numId w:val="1020"/>
        </w:numPr>
      </w:pPr>
      <w:r>
        <w:t xml:space="preserve">A survey-weighted logistic regression modeled predictors of 90-day readmission.</w:t>
      </w:r>
    </w:p>
    <w:p>
      <w:pPr>
        <w:numPr>
          <w:ilvl w:val="2"/>
          <w:numId w:val="1020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0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3" w:name="descriptive-analyses"/>
    <w:p>
      <w:pPr>
        <w:pStyle w:val="Heading2"/>
      </w:pPr>
      <w:r>
        <w:t xml:space="preserve">Descriptive Analyses</w:t>
      </w:r>
    </w:p>
    <w:bookmarkStart w:id="22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2,111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1,584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90-day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1,098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1,103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1,148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1,411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1,257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4.96 (2.11)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4.91 (2.09)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5.12 (2.16)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End w:id="23"/>
    <w:bookmarkStart w:id="26" w:name="X7d0a1c2a05e84965e19936ca624ae03f9f9afcd"/>
    <w:p>
      <w:pPr>
        <w:pStyle w:val="Heading2"/>
      </w:pPr>
      <w:r>
        <w:t xml:space="preserve">Readmission Hospitalization Characteristics</w:t>
      </w:r>
    </w:p>
    <w:bookmarkStart w:id="24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1"/>
        </w:numPr>
      </w:pPr>
      <w:r>
        <w:t xml:space="preserve">Deaths (n): 17</w:t>
      </w:r>
    </w:p>
    <w:p>
      <w:pPr>
        <w:numPr>
          <w:ilvl w:val="0"/>
          <w:numId w:val="1021"/>
        </w:numPr>
      </w:pPr>
      <w:r>
        <w:t xml:space="preserve">Death Rate (%): 3.3%</w:t>
      </w:r>
    </w:p>
    <w:p>
      <w:pPr>
        <w:numPr>
          <w:ilvl w:val="0"/>
          <w:numId w:val="1021"/>
        </w:numPr>
      </w:pPr>
      <w:r>
        <w:t xml:space="preserve">Death Rate (95% CI): 1.13% to 5.47%</w:t>
      </w:r>
    </w:p>
    <w:bookmarkEnd w:id="24"/>
    <w:bookmarkStart w:id="25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2"/>
        </w:numPr>
      </w:pPr>
      <w:r>
        <w:t xml:space="preserve">Median Length of Stay (IQR), days: 4 (IQR: 3–7)</w:t>
      </w:r>
    </w:p>
    <w:p>
      <w:pPr>
        <w:numPr>
          <w:ilvl w:val="0"/>
          <w:numId w:val="1022"/>
        </w:numPr>
      </w:pPr>
      <w:r>
        <w:t xml:space="preserve">Median Total Charges (IQR): $38,584 (IQR: $19,612–$62,295)</w:t>
      </w:r>
    </w:p>
    <w:bookmarkEnd w:id="25"/>
    <w:bookmarkEnd w:id="26"/>
    <w:bookmarkStart w:id="27" w:name="top-causes-of-readmission"/>
    <w:p>
      <w:pPr>
        <w:pStyle w:val="Heading2"/>
      </w:pPr>
      <w:r>
        <w:t xml:space="preserve">Top causes of readmission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8"/>
        <w:gridCol w:w="5560"/>
        <w:gridCol w:w="10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 Code</w:t>
            </w:r>
          </w:p>
        </w:tc>
        <w:tc>
          <w:tcPr/>
          <w:p>
            <w:pPr>
              <w:pStyle w:val="Compact"/>
            </w:pPr>
            <w:r>
              <w:t xml:space="preserve">ICD-10 Description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A41</w:t>
            </w:r>
          </w:p>
        </w:tc>
        <w:tc>
          <w:tcPr/>
          <w:p>
            <w:pPr>
              <w:pStyle w:val="Compact"/>
            </w:pPr>
            <w:r>
              <w:t xml:space="preserve">Other sepsis</w:t>
            </w:r>
          </w:p>
        </w:tc>
        <w:tc>
          <w:tcPr/>
          <w:p>
            <w:pPr>
              <w:pStyle w:val="Compact"/>
            </w:pPr>
            <w:r>
              <w:t xml:space="preserve">0.1410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C25</w:t>
            </w:r>
          </w:p>
        </w:tc>
        <w:tc>
          <w:tcPr/>
          <w:p>
            <w:pPr>
              <w:pStyle w:val="Compact"/>
            </w:pPr>
            <w:r>
              <w:t xml:space="preserve">Malignant neoplasm of pancreas</w:t>
            </w:r>
          </w:p>
        </w:tc>
        <w:tc>
          <w:tcPr/>
          <w:p>
            <w:pPr>
              <w:pStyle w:val="Compact"/>
            </w:pPr>
            <w:r>
              <w:t xml:space="preserve">0.1140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E86</w:t>
            </w:r>
          </w:p>
        </w:tc>
        <w:tc>
          <w:tcPr/>
          <w:p>
            <w:pPr>
              <w:pStyle w:val="Compact"/>
            </w:pPr>
            <w:r>
              <w:t xml:space="preserve">Volume depletion</w:t>
            </w:r>
          </w:p>
        </w:tc>
        <w:tc>
          <w:tcPr/>
          <w:p>
            <w:pPr>
              <w:pStyle w:val="Compact"/>
            </w:pPr>
            <w:r>
              <w:t xml:space="preserve">0.0451</w:t>
            </w:r>
          </w:p>
        </w:tc>
      </w:tr>
      <w:tr>
        <w:tc>
          <w:tcPr/>
          <w:p>
            <w:pPr>
              <w:pStyle w:val="Compact"/>
            </w:pPr>
            <w:r>
              <w:t xml:space="preserve">K31</w:t>
            </w:r>
          </w:p>
        </w:tc>
        <w:tc>
          <w:tcPr/>
          <w:p>
            <w:pPr>
              <w:pStyle w:val="Compact"/>
            </w:pPr>
            <w:r>
              <w:t xml:space="preserve">Other diseases of stomach and duodenum</w:t>
            </w:r>
          </w:p>
        </w:tc>
        <w:tc>
          <w:tcPr/>
          <w:p>
            <w:pPr>
              <w:pStyle w:val="Compact"/>
            </w:pPr>
            <w:r>
              <w:t xml:space="preserve">0.0335</w:t>
            </w:r>
          </w:p>
        </w:tc>
      </w:tr>
      <w:tr>
        <w:tc>
          <w:tcPr/>
          <w:p>
            <w:pPr>
              <w:pStyle w:val="Compact"/>
            </w:pPr>
            <w:r>
              <w:t xml:space="preserve">G89</w:t>
            </w:r>
          </w:p>
        </w:tc>
        <w:tc>
          <w:tcPr/>
          <w:p>
            <w:pPr>
              <w:pStyle w:val="Compact"/>
            </w:pPr>
            <w:r>
              <w:t xml:space="preserve">Pain, not elsewhere classified</w:t>
            </w:r>
          </w:p>
        </w:tc>
        <w:tc>
          <w:tcPr/>
          <w:p>
            <w:pPr>
              <w:pStyle w:val="Compact"/>
            </w:pPr>
            <w:r>
              <w:t xml:space="preserve">0.0334</w:t>
            </w:r>
          </w:p>
        </w:tc>
      </w:tr>
    </w:tbl>
    <w:bookmarkEnd w:id="27"/>
    <w:bookmarkStart w:id="29" w:name="multivariable-regression"/>
    <w:p>
      <w:pPr>
        <w:pStyle w:val="Heading2"/>
      </w:pPr>
      <w:r>
        <w:t xml:space="preserve">Multivariable Regression</w:t>
      </w:r>
    </w:p>
    <w:bookmarkStart w:id="28" w:name="day-readmission"/>
    <w:p>
      <w:pPr>
        <w:pStyle w:val="Heading3"/>
      </w:pPr>
      <w:r>
        <w:t xml:space="preserve">90-Day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0.91, 7.96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ournalofsurgicalresearch.com/article/S0022-4804(20)30359-0/abstra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ournalofsurgicalresearch.com/article/S0022-4804(20)30359-0/abstra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90-Day Readmissions After Pancreaticoduodenectomy For Pancreatic Cancer</dc:title>
  <dc:creator>Eliza Aisha</dc:creator>
  <cp:keywords/>
  <dcterms:created xsi:type="dcterms:W3CDTF">2025-07-31T08:54:12Z</dcterms:created>
  <dcterms:modified xsi:type="dcterms:W3CDTF">2025-07-31T08:54:12Z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2025_June_NRD_A27_90Days</vt:lpwstr>
  </property>
  <property fmtid="{D5CDD505-2E9C-101B-9397-08002B2CF9AE}" pid="12" name="toc-title">
    <vt:lpwstr>Table of contents</vt:lpwstr>
  </property>
</Properties>
</file>