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Contemporary 30-Day Readmissions Following ICD Implantation in Ischemic vs Non-Ischemic Cardiomyopathy</w:t>
      </w:r>
    </w:p>
    <w:p>
      <w:pPr>
        <w:pStyle w:val="Subtitle"/>
      </w:pPr>
      <w:r>
        <w:t xml:space="preserve">2025_June_NRD_A4</w:t>
      </w:r>
    </w:p>
    <w:p>
      <w:pPr>
        <w:pStyle w:val="Author"/>
      </w:pPr>
      <w:r>
        <w:t xml:space="preserve">Eliza Aisha</w:t>
      </w:r>
    </w:p>
    <w:p>
      <w:pPr>
        <w:pStyle w:val="Author"/>
      </w:pPr>
      <w:r>
        <w:t xml:space="preserve">Mariam Shahabi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Gharbin et al., 2023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identify patient- and hospital-level predictors of 30-day all-cause hospital readmission among adults patients hospitalized with ischemic or non-ischemic cardiomyopathy undergoing ICD implantation using a nationally representative dataset. This study also evaluates the clinical and economic burden of readmission in this high-risk population, including its association with in-hospital mortality.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A retrospective cohort study using the 2016–2017 Nationwide Readmissions Database (NRD), developed by the Healthcare Cost and Utilization Project (HCUP). The NRD enables tracking of individual patients across hospitalizations within a given year via synthetic identifiers, capturing discharges from U.S. community hospitals and supporting survey-weighted national estimates through complex sampling design.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included if they met all of the following criteria:</w:t>
      </w:r>
    </w:p>
    <w:p>
      <w:pPr>
        <w:numPr>
          <w:ilvl w:val="1"/>
          <w:numId w:val="1003"/>
        </w:numPr>
      </w:pPr>
      <w:r>
        <w:t xml:space="preserve">Patients aged ≥ 18 years</w:t>
      </w:r>
    </w:p>
    <w:p>
      <w:pPr>
        <w:numPr>
          <w:ilvl w:val="1"/>
          <w:numId w:val="1003"/>
        </w:numPr>
      </w:pPr>
      <w:r>
        <w:t xml:space="preserve">Principal diagnosis of ischemic cardiomyopathy (ICD code I255) or non-ischemic cardiomyopathy (ICD code I42) undergoing ICD implantation.</w:t>
      </w:r>
    </w:p>
    <w:p>
      <w:pPr>
        <w:numPr>
          <w:ilvl w:val="1"/>
          <w:numId w:val="1003"/>
        </w:numPr>
      </w:pPr>
      <w:r>
        <w:t xml:space="preserve">Index discharge by the end of November to allow for a complete 30-day follow-up period</w:t>
      </w:r>
    </w:p>
    <w:p>
      <w:pPr>
        <w:numPr>
          <w:ilvl w:val="1"/>
          <w:numId w:val="1003"/>
        </w:numPr>
      </w:pPr>
      <w:r>
        <w:t xml:space="preserve">Complete data on LOS and NRD_DAYSTOEVENT, required to compute discharge dates</w:t>
      </w:r>
    </w:p>
    <w:p>
      <w:pPr>
        <w:numPr>
          <w:ilvl w:val="1"/>
          <w:numId w:val="1003"/>
        </w:numPr>
      </w:pPr>
      <w:r>
        <w:t xml:space="preserve">Trauma-related hospitalizations were excluded only from the readmission pool to avoid injury-related returns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4"/>
        </w:numPr>
      </w:pPr>
      <w:r>
        <w:t xml:space="preserve">Primary Outcome:</w:t>
      </w:r>
    </w:p>
    <w:p>
      <w:pPr>
        <w:pStyle w:val="Compact"/>
        <w:numPr>
          <w:ilvl w:val="2"/>
          <w:numId w:val="1005"/>
        </w:numPr>
      </w:pPr>
      <w:r>
        <w:t xml:space="preserve">All-cause 30-day readmission</w:t>
      </w:r>
    </w:p>
    <w:p>
      <w:pPr>
        <w:numPr>
          <w:ilvl w:val="1"/>
          <w:numId w:val="1004"/>
        </w:numPr>
      </w:pPr>
      <w:r>
        <w:t xml:space="preserve">Secondary Outcomes (index admission):</w:t>
      </w:r>
    </w:p>
    <w:p>
      <w:pPr>
        <w:numPr>
          <w:ilvl w:val="2"/>
          <w:numId w:val="1006"/>
        </w:numPr>
      </w:pPr>
      <w:r>
        <w:t xml:space="preserve">In-hospital mortality (DIED)</w:t>
      </w:r>
    </w:p>
    <w:p>
      <w:pPr>
        <w:numPr>
          <w:ilvl w:val="2"/>
          <w:numId w:val="1006"/>
        </w:numPr>
      </w:pPr>
      <w:r>
        <w:t xml:space="preserve">Length of stay (LOS, in days)</w:t>
      </w:r>
    </w:p>
    <w:p>
      <w:pPr>
        <w:numPr>
          <w:ilvl w:val="2"/>
          <w:numId w:val="1006"/>
        </w:numPr>
      </w:pPr>
      <w:r>
        <w:t xml:space="preserve">Total hospitalization charges (TOTCHG), inflation-adjusted to 2017 USD</w:t>
      </w:r>
    </w:p>
    <w:p>
      <w:pPr>
        <w:numPr>
          <w:ilvl w:val="2"/>
          <w:numId w:val="1006"/>
        </w:numPr>
      </w:pPr>
      <w:r>
        <w:t xml:space="preserve">Non-home discharge</w:t>
      </w:r>
    </w:p>
    <w:p>
      <w:pPr>
        <w:numPr>
          <w:ilvl w:val="1"/>
          <w:numId w:val="1004"/>
        </w:numPr>
      </w:pPr>
      <w:r>
        <w:t xml:space="preserve">Readmission Characteristics:</w:t>
      </w:r>
    </w:p>
    <w:p>
      <w:pPr>
        <w:numPr>
          <w:ilvl w:val="2"/>
          <w:numId w:val="1007"/>
        </w:numPr>
      </w:pPr>
      <w:r>
        <w:t xml:space="preserve">In-hospital mortality</w:t>
      </w:r>
    </w:p>
    <w:p>
      <w:pPr>
        <w:numPr>
          <w:ilvl w:val="2"/>
          <w:numId w:val="1007"/>
        </w:numPr>
      </w:pPr>
      <w:r>
        <w:t xml:space="preserve">Length of stay (LOS, in days)</w:t>
      </w:r>
    </w:p>
    <w:p>
      <w:pPr>
        <w:numPr>
          <w:ilvl w:val="2"/>
          <w:numId w:val="1007"/>
        </w:numPr>
      </w:pPr>
      <w:r>
        <w:t xml:space="preserve">Total hospitalization charges (inflation-adjusted to 2017 USD)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08"/>
        </w:numPr>
      </w:pPr>
      <w:r>
        <w:t xml:space="preserve">Readmission:</w:t>
      </w:r>
    </w:p>
    <w:p>
      <w:pPr>
        <w:numPr>
          <w:ilvl w:val="2"/>
          <w:numId w:val="1009"/>
        </w:numPr>
      </w:pPr>
      <w:r>
        <w:t xml:space="preserve">Defined using HCUP NRD’s methodology. Readmissions were identified only among patients with qualifying index events.</w:t>
      </w:r>
    </w:p>
    <w:p>
      <w:pPr>
        <w:numPr>
          <w:ilvl w:val="2"/>
          <w:numId w:val="1009"/>
        </w:numPr>
      </w:pPr>
      <w:r>
        <w:t xml:space="preserve">Trauma-related hospitalizations were excluded only from the readmission pool to avoid unrelated admissions.</w:t>
      </w:r>
    </w:p>
    <w:p>
      <w:pPr>
        <w:numPr>
          <w:ilvl w:val="1"/>
          <w:numId w:val="1008"/>
        </w:numPr>
      </w:pPr>
      <w:r>
        <w:t xml:space="preserve">Mortality:</w:t>
      </w:r>
    </w:p>
    <w:p>
      <w:pPr>
        <w:pStyle w:val="Compact"/>
        <w:numPr>
          <w:ilvl w:val="2"/>
          <w:numId w:val="1010"/>
        </w:numPr>
      </w:pPr>
      <w:r>
        <w:t xml:space="preserve">In-hospital death recorded during index or readmission (DIED = 1)</w:t>
      </w:r>
    </w:p>
    <w:p>
      <w:pPr>
        <w:numPr>
          <w:ilvl w:val="1"/>
          <w:numId w:val="1008"/>
        </w:numPr>
      </w:pPr>
      <w:r>
        <w:t xml:space="preserve">LOS:</w:t>
      </w:r>
    </w:p>
    <w:p>
      <w:pPr>
        <w:pStyle w:val="Compact"/>
        <w:numPr>
          <w:ilvl w:val="2"/>
          <w:numId w:val="1011"/>
        </w:numPr>
      </w:pPr>
      <w:r>
        <w:t xml:space="preserve">Reported in days; modeled as count outcome</w:t>
      </w:r>
    </w:p>
    <w:p>
      <w:pPr>
        <w:numPr>
          <w:ilvl w:val="1"/>
          <w:numId w:val="1008"/>
        </w:numPr>
      </w:pPr>
      <w:r>
        <w:t xml:space="preserve">Charge:</w:t>
      </w:r>
    </w:p>
    <w:p>
      <w:pPr>
        <w:pStyle w:val="Compact"/>
        <w:numPr>
          <w:ilvl w:val="2"/>
          <w:numId w:val="1012"/>
        </w:numPr>
      </w:pPr>
      <w:r>
        <w:t xml:space="preserve">Derived from HCUP’s TOTCHG variable and adjusted to 2017 dollars using Consumer Price Index (CPI) data</w:t>
      </w:r>
    </w:p>
    <w:p>
      <w:pPr>
        <w:numPr>
          <w:ilvl w:val="1"/>
          <w:numId w:val="1008"/>
        </w:numPr>
      </w:pPr>
      <w:r>
        <w:t xml:space="preserve">Non-Home Discharge:</w:t>
      </w:r>
    </w:p>
    <w:p>
      <w:pPr>
        <w:numPr>
          <w:ilvl w:val="2"/>
          <w:numId w:val="1013"/>
        </w:numPr>
      </w:pPr>
      <w:r>
        <w:t xml:space="preserve">Defined as any disposition other than home/self-care, specifically:</w:t>
      </w:r>
    </w:p>
    <w:p>
      <w:pPr>
        <w:numPr>
          <w:ilvl w:val="3"/>
          <w:numId w:val="1014"/>
        </w:numPr>
      </w:pPr>
      <w:r>
        <w:t xml:space="preserve">Transfer to another short-term hospital</w:t>
      </w:r>
    </w:p>
    <w:p>
      <w:pPr>
        <w:numPr>
          <w:ilvl w:val="3"/>
          <w:numId w:val="1014"/>
        </w:numPr>
      </w:pPr>
      <w:r>
        <w:t xml:space="preserve">Transfer to skilled nursing facility (SNF), intermediate, or other facility</w:t>
      </w:r>
    </w:p>
    <w:p>
      <w:pPr>
        <w:numPr>
          <w:ilvl w:val="3"/>
          <w:numId w:val="1014"/>
        </w:numPr>
      </w:pPr>
      <w:r>
        <w:t xml:space="preserve">Left against medical advice</w:t>
      </w:r>
    </w:p>
    <w:p>
      <w:pPr>
        <w:numPr>
          <w:ilvl w:val="3"/>
          <w:numId w:val="1014"/>
        </w:numPr>
      </w:pPr>
      <w:r>
        <w:t xml:space="preserve">Died in hospital</w:t>
      </w:r>
    </w:p>
    <w:p>
      <w:pPr>
        <w:numPr>
          <w:ilvl w:val="3"/>
          <w:numId w:val="1014"/>
        </w:numPr>
      </w:pPr>
      <w:r>
        <w:t xml:space="preserve">Alive, destination unknown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 and Variable Construction:</w:t>
      </w:r>
    </w:p>
    <w:p>
      <w:pPr>
        <w:numPr>
          <w:ilvl w:val="1"/>
          <w:numId w:val="1015"/>
        </w:numPr>
      </w:pPr>
      <w:r>
        <w:t xml:space="preserve">Demographic &amp; Socioeconomic Factors:</w:t>
      </w:r>
    </w:p>
    <w:p>
      <w:pPr>
        <w:numPr>
          <w:ilvl w:val="2"/>
          <w:numId w:val="1016"/>
        </w:numPr>
      </w:pPr>
      <w:r>
        <w:t xml:space="preserve">Age (continuous)</w:t>
      </w:r>
    </w:p>
    <w:p>
      <w:pPr>
        <w:numPr>
          <w:ilvl w:val="2"/>
          <w:numId w:val="1016"/>
        </w:numPr>
      </w:pPr>
      <w:r>
        <w:t xml:space="preserve">Sex (FEMALE; ref = Male)</w:t>
      </w:r>
    </w:p>
    <w:p>
      <w:pPr>
        <w:numPr>
          <w:ilvl w:val="2"/>
          <w:numId w:val="1016"/>
        </w:numPr>
      </w:pPr>
      <w:r>
        <w:t xml:space="preserve">Primary expected payer (Insurance; Medicare, Medicaid, Private, Other)</w:t>
      </w:r>
    </w:p>
    <w:p>
      <w:pPr>
        <w:numPr>
          <w:ilvl w:val="2"/>
          <w:numId w:val="1016"/>
        </w:numPr>
      </w:pPr>
      <w:r>
        <w:t xml:space="preserve">Income quartile based on ZIP code (ZIPINC_QRTL)</w:t>
      </w:r>
    </w:p>
    <w:p>
      <w:pPr>
        <w:numPr>
          <w:ilvl w:val="1"/>
          <w:numId w:val="1015"/>
        </w:numPr>
      </w:pPr>
      <w:r>
        <w:t xml:space="preserve">Comorbidities and Clinical Covariates:</w:t>
      </w:r>
    </w:p>
    <w:p>
      <w:pPr>
        <w:numPr>
          <w:ilvl w:val="2"/>
          <w:numId w:val="1017"/>
        </w:numPr>
      </w:pPr>
      <w:r>
        <w:t xml:space="preserve">Diabetes</w:t>
      </w:r>
    </w:p>
    <w:p>
      <w:pPr>
        <w:numPr>
          <w:ilvl w:val="2"/>
          <w:numId w:val="1017"/>
        </w:numPr>
      </w:pPr>
      <w:r>
        <w:t xml:space="preserve">Hypertension</w:t>
      </w:r>
    </w:p>
    <w:p>
      <w:pPr>
        <w:numPr>
          <w:ilvl w:val="2"/>
          <w:numId w:val="1017"/>
        </w:numPr>
      </w:pPr>
      <w:r>
        <w:t xml:space="preserve">Congestive heart failure</w:t>
      </w:r>
    </w:p>
    <w:p>
      <w:pPr>
        <w:numPr>
          <w:ilvl w:val="2"/>
          <w:numId w:val="1017"/>
        </w:numPr>
      </w:pPr>
      <w:r>
        <w:t xml:space="preserve">Chronic pulmonary disease</w:t>
      </w:r>
    </w:p>
    <w:p>
      <w:pPr>
        <w:numPr>
          <w:ilvl w:val="2"/>
          <w:numId w:val="1017"/>
        </w:numPr>
      </w:pPr>
      <w:r>
        <w:t xml:space="preserve">Anemia</w:t>
      </w:r>
    </w:p>
    <w:p>
      <w:pPr>
        <w:numPr>
          <w:ilvl w:val="2"/>
          <w:numId w:val="1017"/>
        </w:numPr>
      </w:pPr>
      <w:r>
        <w:t xml:space="preserve">Liver disease</w:t>
      </w:r>
    </w:p>
    <w:p>
      <w:pPr>
        <w:numPr>
          <w:ilvl w:val="2"/>
          <w:numId w:val="1017"/>
        </w:numPr>
      </w:pPr>
      <w:r>
        <w:t xml:space="preserve">Obesity</w:t>
      </w:r>
    </w:p>
    <w:p>
      <w:pPr>
        <w:numPr>
          <w:ilvl w:val="2"/>
          <w:numId w:val="1017"/>
        </w:numPr>
      </w:pPr>
      <w:r>
        <w:t xml:space="preserve">Renal Failure</w:t>
      </w:r>
    </w:p>
    <w:p>
      <w:pPr>
        <w:numPr>
          <w:ilvl w:val="2"/>
          <w:numId w:val="1017"/>
        </w:numPr>
      </w:pPr>
      <w:r>
        <w:t xml:space="preserve">Cardiac Arrhythmia</w:t>
      </w:r>
    </w:p>
    <w:p>
      <w:pPr>
        <w:numPr>
          <w:ilvl w:val="2"/>
          <w:numId w:val="1017"/>
        </w:numPr>
      </w:pPr>
      <w:r>
        <w:t xml:space="preserve">History of undergoing PCI</w:t>
      </w:r>
    </w:p>
    <w:p>
      <w:pPr>
        <w:numPr>
          <w:ilvl w:val="2"/>
          <w:numId w:val="1017"/>
        </w:numPr>
      </w:pPr>
      <w:r>
        <w:t xml:space="preserve">History of undergoing CABG</w:t>
      </w:r>
    </w:p>
    <w:p>
      <w:pPr>
        <w:numPr>
          <w:ilvl w:val="2"/>
          <w:numId w:val="1017"/>
        </w:numPr>
      </w:pPr>
      <w:r>
        <w:t xml:space="preserve">History of myocardial infarction</w:t>
      </w:r>
    </w:p>
    <w:p>
      <w:pPr>
        <w:numPr>
          <w:ilvl w:val="1"/>
          <w:numId w:val="1015"/>
        </w:numPr>
      </w:pPr>
      <w:r>
        <w:t xml:space="preserve">Hospital Characteristics:</w:t>
      </w:r>
    </w:p>
    <w:p>
      <w:pPr>
        <w:numPr>
          <w:ilvl w:val="2"/>
          <w:numId w:val="1018"/>
        </w:numPr>
      </w:pPr>
      <w:r>
        <w:t xml:space="preserve">Hospital bed size (Small, Medium, Large)</w:t>
      </w:r>
    </w:p>
    <w:p>
      <w:pPr>
        <w:numPr>
          <w:ilvl w:val="2"/>
          <w:numId w:val="1018"/>
        </w:numPr>
      </w:pPr>
      <w:r>
        <w:t xml:space="preserve">Urban/rural teaching status (Metropolitan, teaching vs non-teaching, etc.)</w:t>
      </w:r>
    </w:p>
    <w:p>
      <w:pPr>
        <w:numPr>
          <w:ilvl w:val="1"/>
          <w:numId w:val="1015"/>
        </w:numPr>
      </w:pPr>
      <w:r>
        <w:t xml:space="preserve">Disposition and Severity:</w:t>
      </w:r>
    </w:p>
    <w:p>
      <w:pPr>
        <w:numPr>
          <w:ilvl w:val="2"/>
          <w:numId w:val="1019"/>
        </w:numPr>
      </w:pPr>
      <w:r>
        <w:t xml:space="preserve">Non-home discharge (e.g., SNF, hospice, other facilities, or death)</w:t>
      </w:r>
    </w:p>
    <w:p>
      <w:pPr>
        <w:numPr>
          <w:ilvl w:val="2"/>
          <w:numId w:val="1019"/>
        </w:numPr>
      </w:pPr>
      <w:r>
        <w:t xml:space="preserve">Length of stay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20"/>
        </w:numPr>
      </w:pPr>
      <w:r>
        <w:t xml:space="preserve">Survey Design and Weighting:</w:t>
      </w:r>
    </w:p>
    <w:p>
      <w:pPr>
        <w:pStyle w:val="Compact"/>
        <w:numPr>
          <w:ilvl w:val="2"/>
          <w:numId w:val="1021"/>
        </w:numPr>
      </w:pPr>
      <w:r>
        <w:t xml:space="preserve">All analyses accounted for NRD’s complex survey design using weights (DISCWT), strata (NRD_STRATUM), and clustering (HOSP_NRD). Survey-adjusted methods were implemented via survey and srvyr packages.</w:t>
      </w:r>
    </w:p>
    <w:p>
      <w:pPr>
        <w:numPr>
          <w:ilvl w:val="1"/>
          <w:numId w:val="1020"/>
        </w:numPr>
      </w:pPr>
      <w:r>
        <w:t xml:space="preserve">Descriptive Analyses:</w:t>
      </w:r>
    </w:p>
    <w:p>
      <w:pPr>
        <w:numPr>
          <w:ilvl w:val="2"/>
          <w:numId w:val="1022"/>
        </w:numPr>
      </w:pPr>
      <w:r>
        <w:t xml:space="preserve">Baseline characteristics were summarized across ischemic vs. non-ischemic cardiomyopathy groups using survey-weighted means/proportions.</w:t>
      </w:r>
    </w:p>
    <w:p>
      <w:pPr>
        <w:numPr>
          <w:ilvl w:val="2"/>
          <w:numId w:val="1022"/>
        </w:numPr>
      </w:pPr>
      <w:r>
        <w:t xml:space="preserve">P-values from design-based statistical tests (Rao–Scott adjusted chi-square for categorical variables; design-based Kruskal–Wallis test for continuous variables).</w:t>
      </w:r>
    </w:p>
    <w:p>
      <w:pPr>
        <w:numPr>
          <w:ilvl w:val="1"/>
          <w:numId w:val="1020"/>
        </w:numPr>
      </w:pPr>
      <w:r>
        <w:t xml:space="preserve">Multivariable Regression:</w:t>
      </w:r>
    </w:p>
    <w:p>
      <w:pPr>
        <w:numPr>
          <w:ilvl w:val="2"/>
          <w:numId w:val="1023"/>
        </w:numPr>
      </w:pPr>
      <w:r>
        <w:t xml:space="preserve">A survey-weighted logistic regression modeled predictors of 30-day readmission.</w:t>
      </w:r>
    </w:p>
    <w:p>
      <w:pPr>
        <w:numPr>
          <w:ilvl w:val="2"/>
          <w:numId w:val="1023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23"/>
        </w:numPr>
      </w:pPr>
      <w:r>
        <w:t xml:space="preserve">Results were exponentiated to yield odds ratios (ORs) with 95% confidence intervals.</w:t>
      </w:r>
    </w:p>
    <w:p>
      <w:pPr>
        <w:numPr>
          <w:ilvl w:val="1"/>
          <w:numId w:val="1020"/>
        </w:numPr>
      </w:pPr>
      <w:r>
        <w:t xml:space="preserve">Readmission Characteristics:</w:t>
      </w:r>
    </w:p>
    <w:p>
      <w:pPr>
        <w:pStyle w:val="Compact"/>
        <w:numPr>
          <w:ilvl w:val="2"/>
          <w:numId w:val="1024"/>
        </w:numPr>
      </w:pPr>
      <w:r>
        <w:t xml:space="preserve">A sub-analysis among patients with 30-day readmissions summarized readmission hospitalization characteristics descriptively using weighted survey statistics.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conducted in R Statistical Language (Version 4.5.0; R Foundation for Statistical Computing, Vienna, Austria).</w:t>
      </w:r>
    </w:p>
    <w:bookmarkEnd w:id="21"/>
    <w:bookmarkStart w:id="24" w:name="descriptive-analyses"/>
    <w:p>
      <w:pPr>
        <w:pStyle w:val="Heading2"/>
      </w:pPr>
      <w:r>
        <w:t xml:space="preserve">Descriptive Analyses</w:t>
      </w:r>
    </w:p>
    <w:bookmarkStart w:id="22" w:name="baseline-characteristics"/>
    <w:p>
      <w:pPr>
        <w:pStyle w:val="Heading3"/>
      </w:pPr>
      <w:r>
        <w:t xml:space="preserve">Baseline Characteristics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10,382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Ischemic Cardiomyopathy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4,151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Non-Ischemic Cardiomyopathy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6,231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7,065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3,242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3,823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3,316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909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2,408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2,524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667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1,858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1,466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459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1,008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5,818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2,834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2,984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564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375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Household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3,260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1,260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2,000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2,693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1,160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1,533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2,408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971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1,437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1,876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1,173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837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378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458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6,736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2,588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4,148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2,809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2,162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7,971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3,121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4,850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249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 home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858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388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470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331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331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2,595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7,456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3,646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3,810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9,784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4,151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5,632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2,396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359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253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1,990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1,369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8,005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3,452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4,553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3,815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1,916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1,899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6,140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2,396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3,744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Renal_disease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2,572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1,289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1,283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1,671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717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1,960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1,533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427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1,786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1,508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278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2,562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1,987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575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2"/>
    <w:bookmarkStart w:id="23" w:name="outcomes-of-index-hospitalizations"/>
    <w:p>
      <w:pPr>
        <w:pStyle w:val="Heading3"/>
      </w:pPr>
      <w:r>
        <w:t xml:space="preserve">Outcomes of Index Hospitalizations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10,382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Ischemic Cardiomyopathy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4,151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Non-Ischemic Cardiomyopathy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6,231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(1.0, 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(1.0, 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(1.0, 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Charges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146,797 (97,045, 214,807)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142,535 (93,483, 205,157)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148,974 (98,793, 220,723)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858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388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470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3"/>
    <w:bookmarkEnd w:id="24"/>
    <w:bookmarkStart w:id="26" w:name="multivariable-analyses"/>
    <w:p>
      <w:pPr>
        <w:pStyle w:val="Heading2"/>
      </w:pPr>
      <w:r>
        <w:t xml:space="preserve">Multivariable Analyses</w:t>
      </w:r>
    </w:p>
    <w:bookmarkStart w:id="25" w:name="day-readmission"/>
    <w:p>
      <w:pPr>
        <w:pStyle w:val="Heading3"/>
      </w:pPr>
      <w:r>
        <w:t xml:space="preserve">30-Day Readmission: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Cardiomyopathy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Ischemic Cardiomyopathy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Non-Ischemic Cardiomyopathy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1.37, 2.77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1.46, 2.64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Household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0.31, 1.48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 home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0.51, 4.94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0.45, 4.44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0.62, 2.37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Liver_disease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Renal_disease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1.37, 2.19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sciencedirect.com/science/article/abs/pii/S014628062300026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sciencedirect.com/science/article/abs/pii/S014628062300026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Contemporary 30-Day Readmissions Following ICD Implantation in Ischemic vs Non-Ischemic Cardiomyopathy</dc:title>
  <dc:creator>Eliza Aisha; Mariam Shahabi</dc:creator>
  <cp:keywords/>
  <dcterms:created xsi:type="dcterms:W3CDTF">2025-07-25T22:26:24Z</dcterms:created>
  <dcterms:modified xsi:type="dcterms:W3CDTF">2025-07-25T22:26:24Z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2025_June_NRD_A4</vt:lpwstr>
  </property>
  <property fmtid="{D5CDD505-2E9C-101B-9397-08002B2CF9AE}" pid="12" name="toc-title">
    <vt:lpwstr>Table of contents</vt:lpwstr>
  </property>
</Properties>
</file>