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Readmission in Patients with Chronic Kidney Disease undergoing PCI</w:t>
      </w:r>
    </w:p>
    <w:p>
      <w:pPr>
        <w:pStyle w:val="Subtitle"/>
      </w:pPr>
      <w:r>
        <w:t xml:space="preserve">2025_June_NRD_A5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Nowrouzi et al., 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patients undergoing percutaneous coronary intervention and has been diagnosed with chronic kidney disease, using a nationally representative dataset. This study also evaluates the clinical and economic burden of readmission in this high-risk population, including its association with in-hospital mortality.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≥ 18 years</w:t>
      </w:r>
    </w:p>
    <w:p>
      <w:pPr>
        <w:numPr>
          <w:ilvl w:val="1"/>
          <w:numId w:val="1003"/>
        </w:numPr>
      </w:pPr>
      <w:r>
        <w:t xml:space="preserve">Undergoing percutaneous coronary intervention as the primary procedure.</w:t>
      </w:r>
    </w:p>
    <w:p>
      <w:pPr>
        <w:numPr>
          <w:ilvl w:val="1"/>
          <w:numId w:val="1003"/>
        </w:numPr>
      </w:pPr>
      <w:r>
        <w:t xml:space="preserve">Primary or secondary diagnosis of chronic kidney disease.</w:t>
      </w:r>
    </w:p>
    <w:p>
      <w:pPr>
        <w:numPr>
          <w:ilvl w:val="2"/>
          <w:numId w:val="1004"/>
        </w:numPr>
      </w:pPr>
      <w:r>
        <w:t xml:space="preserve">CKD was categorized as following:</w:t>
      </w:r>
    </w:p>
    <w:p>
      <w:pPr>
        <w:pStyle w:val="Compact"/>
        <w:numPr>
          <w:ilvl w:val="3"/>
          <w:numId w:val="1005"/>
        </w:numPr>
      </w:pPr>
      <w:r>
        <w:t xml:space="preserve">No CKD</w:t>
      </w:r>
    </w:p>
    <w:p>
      <w:pPr>
        <w:pStyle w:val="Compact"/>
        <w:numPr>
          <w:ilvl w:val="3"/>
          <w:numId w:val="1005"/>
        </w:numPr>
      </w:pPr>
      <w:r>
        <w:t xml:space="preserve">CKD Stage 1-3</w:t>
      </w:r>
    </w:p>
    <w:p>
      <w:pPr>
        <w:pStyle w:val="Compact"/>
        <w:numPr>
          <w:ilvl w:val="3"/>
          <w:numId w:val="1005"/>
        </w:numPr>
      </w:pPr>
      <w:r>
        <w:t xml:space="preserve">CKD Stage 3-4</w:t>
      </w:r>
    </w:p>
    <w:p>
      <w:pPr>
        <w:pStyle w:val="Compact"/>
        <w:numPr>
          <w:ilvl w:val="3"/>
          <w:numId w:val="1005"/>
        </w:numPr>
      </w:pPr>
      <w:r>
        <w:t xml:space="preserve">ESRD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1"/>
          <w:numId w:val="1003"/>
        </w:numPr>
      </w:pPr>
      <w:r>
        <w:t xml:space="preserve">Trauma-related hospitalizations were excluded only from the readmission pool to avoid injury-related returns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6"/>
        </w:numPr>
      </w:pPr>
      <w:r>
        <w:t xml:space="preserve">Primary Outcome:</w:t>
      </w:r>
    </w:p>
    <w:p>
      <w:pPr>
        <w:pStyle w:val="Compact"/>
        <w:numPr>
          <w:ilvl w:val="2"/>
          <w:numId w:val="1007"/>
        </w:numPr>
      </w:pPr>
      <w:r>
        <w:t xml:space="preserve">All-cause 30-day readmission</w:t>
      </w:r>
    </w:p>
    <w:p>
      <w:pPr>
        <w:numPr>
          <w:ilvl w:val="1"/>
          <w:numId w:val="1006"/>
        </w:numPr>
      </w:pPr>
      <w:r>
        <w:t xml:space="preserve">Secondary Outcomes (index admission):</w:t>
      </w:r>
    </w:p>
    <w:p>
      <w:pPr>
        <w:numPr>
          <w:ilvl w:val="2"/>
          <w:numId w:val="1008"/>
        </w:numPr>
      </w:pPr>
      <w:r>
        <w:t xml:space="preserve">In-hospital mortality (DIED)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8"/>
        </w:numPr>
      </w:pPr>
      <w:r>
        <w:t xml:space="preserve">Discharge disposition</w:t>
      </w:r>
    </w:p>
    <w:p>
      <w:pPr>
        <w:numPr>
          <w:ilvl w:val="1"/>
          <w:numId w:val="1006"/>
        </w:numPr>
      </w:pPr>
      <w:r>
        <w:t xml:space="preserve">Readmission Characteristics:</w:t>
      </w:r>
    </w:p>
    <w:p>
      <w:pPr>
        <w:numPr>
          <w:ilvl w:val="2"/>
          <w:numId w:val="1009"/>
        </w:numPr>
      </w:pPr>
      <w:r>
        <w:t xml:space="preserve">In-hospital mortality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0"/>
        </w:numPr>
      </w:pPr>
      <w:r>
        <w:t xml:space="preserve">Readmission:</w:t>
      </w:r>
    </w:p>
    <w:p>
      <w:pPr>
        <w:numPr>
          <w:ilvl w:val="2"/>
          <w:numId w:val="1011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1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0"/>
        </w:numPr>
      </w:pPr>
      <w:r>
        <w:t xml:space="preserve">Mortality:</w:t>
      </w:r>
    </w:p>
    <w:p>
      <w:pPr>
        <w:pStyle w:val="Compact"/>
        <w:numPr>
          <w:ilvl w:val="2"/>
          <w:numId w:val="1012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0"/>
        </w:numPr>
      </w:pPr>
      <w:r>
        <w:t xml:space="preserve">LOS:</w:t>
      </w:r>
    </w:p>
    <w:p>
      <w:pPr>
        <w:pStyle w:val="Compact"/>
        <w:numPr>
          <w:ilvl w:val="2"/>
          <w:numId w:val="1013"/>
        </w:numPr>
      </w:pPr>
      <w:r>
        <w:t xml:space="preserve">Reported in days; modeled as count outcome</w:t>
      </w:r>
    </w:p>
    <w:p>
      <w:pPr>
        <w:numPr>
          <w:ilvl w:val="1"/>
          <w:numId w:val="1010"/>
        </w:numPr>
      </w:pPr>
      <w:r>
        <w:t xml:space="preserve">Charge:</w:t>
      </w:r>
    </w:p>
    <w:p>
      <w:pPr>
        <w:pStyle w:val="Compact"/>
        <w:numPr>
          <w:ilvl w:val="2"/>
          <w:numId w:val="1014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0"/>
        </w:numPr>
      </w:pPr>
      <w:r>
        <w:t xml:space="preserve">Discharge Disposition: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-   Home/self-care</w:t>
      </w:r>
      <w:r>
        <w:br/>
      </w:r>
      <w:r>
        <w:br/>
      </w:r>
      <w:r>
        <w:rPr>
          <w:rStyle w:val="VerbatimChar"/>
        </w:rPr>
        <w:t xml:space="preserve">-   Transfer to another short-term hospital</w:t>
      </w:r>
      <w:r>
        <w:br/>
      </w:r>
      <w:r>
        <w:br/>
      </w:r>
      <w:r>
        <w:rPr>
          <w:rStyle w:val="VerbatimChar"/>
        </w:rPr>
        <w:t xml:space="preserve">-   Transfer to skilled nursing facility (SNF), intermediate, or other facility</w:t>
      </w:r>
      <w:r>
        <w:br/>
      </w:r>
      <w:r>
        <w:rPr>
          <w:rStyle w:val="VerbatimChar"/>
        </w:rPr>
        <w:t xml:space="preserve">-   Left against medical advice</w:t>
      </w:r>
      <w:r>
        <w:br/>
      </w:r>
      <w:r>
        <w:br/>
      </w:r>
      <w:r>
        <w:rPr>
          <w:rStyle w:val="VerbatimChar"/>
        </w:rPr>
        <w:t xml:space="preserve">-   Died in hospital</w:t>
      </w:r>
      <w:r>
        <w:br/>
      </w:r>
      <w:r>
        <w:br/>
      </w:r>
      <w:r>
        <w:rPr>
          <w:rStyle w:val="VerbatimChar"/>
        </w:rPr>
        <w:t xml:space="preserve">-   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5"/>
        </w:numPr>
      </w:pPr>
      <w:r>
        <w:t xml:space="preserve">Demographic &amp; Socioeconomic Factors:</w:t>
      </w:r>
    </w:p>
    <w:p>
      <w:pPr>
        <w:numPr>
          <w:ilvl w:val="2"/>
          <w:numId w:val="1016"/>
        </w:numPr>
      </w:pPr>
      <w:r>
        <w:t xml:space="preserve">Age (continuous)</w:t>
      </w:r>
    </w:p>
    <w:p>
      <w:pPr>
        <w:numPr>
          <w:ilvl w:val="2"/>
          <w:numId w:val="1016"/>
        </w:numPr>
      </w:pPr>
      <w:r>
        <w:t xml:space="preserve">Sex (FEMALE; ref = Male)</w:t>
      </w:r>
    </w:p>
    <w:p>
      <w:pPr>
        <w:numPr>
          <w:ilvl w:val="2"/>
          <w:numId w:val="1016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6"/>
        </w:numPr>
      </w:pPr>
      <w:r>
        <w:t xml:space="preserve">Income quartile based on ZIP code (ZIPINC_QRTL)</w:t>
      </w:r>
    </w:p>
    <w:p>
      <w:pPr>
        <w:numPr>
          <w:ilvl w:val="1"/>
          <w:numId w:val="1015"/>
        </w:numPr>
      </w:pPr>
      <w:r>
        <w:t xml:space="preserve">Comorbidities and Clinical Covariates:</w:t>
      </w:r>
    </w:p>
    <w:p>
      <w:pPr>
        <w:numPr>
          <w:ilvl w:val="2"/>
          <w:numId w:val="1017"/>
        </w:numPr>
      </w:pPr>
      <w:r>
        <w:t xml:space="preserve">Diabetes</w:t>
      </w:r>
    </w:p>
    <w:p>
      <w:pPr>
        <w:numPr>
          <w:ilvl w:val="2"/>
          <w:numId w:val="1017"/>
        </w:numPr>
      </w:pPr>
      <w:r>
        <w:t xml:space="preserve">Hypertension</w:t>
      </w:r>
    </w:p>
    <w:p>
      <w:pPr>
        <w:numPr>
          <w:ilvl w:val="2"/>
          <w:numId w:val="1017"/>
        </w:numPr>
      </w:pPr>
      <w:r>
        <w:t xml:space="preserve">Congestive heart failure</w:t>
      </w:r>
    </w:p>
    <w:p>
      <w:pPr>
        <w:numPr>
          <w:ilvl w:val="2"/>
          <w:numId w:val="1017"/>
        </w:numPr>
      </w:pPr>
      <w:r>
        <w:t xml:space="preserve">Chronic pulmonary disease</w:t>
      </w:r>
    </w:p>
    <w:p>
      <w:pPr>
        <w:numPr>
          <w:ilvl w:val="2"/>
          <w:numId w:val="1017"/>
        </w:numPr>
      </w:pPr>
      <w:r>
        <w:t xml:space="preserve">Anemia</w:t>
      </w:r>
    </w:p>
    <w:p>
      <w:pPr>
        <w:numPr>
          <w:ilvl w:val="2"/>
          <w:numId w:val="1017"/>
        </w:numPr>
      </w:pPr>
      <w:r>
        <w:t xml:space="preserve">Liver disease</w:t>
      </w:r>
    </w:p>
    <w:p>
      <w:pPr>
        <w:numPr>
          <w:ilvl w:val="2"/>
          <w:numId w:val="1017"/>
        </w:numPr>
      </w:pPr>
      <w:r>
        <w:t xml:space="preserve">Obesity</w:t>
      </w:r>
    </w:p>
    <w:p>
      <w:pPr>
        <w:numPr>
          <w:ilvl w:val="2"/>
          <w:numId w:val="1017"/>
        </w:numPr>
      </w:pPr>
      <w:r>
        <w:t xml:space="preserve">Renal Failure</w:t>
      </w:r>
    </w:p>
    <w:p>
      <w:pPr>
        <w:numPr>
          <w:ilvl w:val="2"/>
          <w:numId w:val="1017"/>
        </w:numPr>
      </w:pPr>
      <w:r>
        <w:t xml:space="preserve">Cardiac Arrhythmia</w:t>
      </w:r>
    </w:p>
    <w:p>
      <w:pPr>
        <w:numPr>
          <w:ilvl w:val="2"/>
          <w:numId w:val="1017"/>
        </w:numPr>
      </w:pPr>
      <w:r>
        <w:t xml:space="preserve">History of undergoing PCI</w:t>
      </w:r>
    </w:p>
    <w:p>
      <w:pPr>
        <w:numPr>
          <w:ilvl w:val="2"/>
          <w:numId w:val="1017"/>
        </w:numPr>
      </w:pPr>
      <w:r>
        <w:t xml:space="preserve">History of undergoing CABG</w:t>
      </w:r>
    </w:p>
    <w:p>
      <w:pPr>
        <w:numPr>
          <w:ilvl w:val="2"/>
          <w:numId w:val="1017"/>
        </w:numPr>
      </w:pPr>
      <w:r>
        <w:t xml:space="preserve">History of myocardial infarction</w:t>
      </w:r>
    </w:p>
    <w:p>
      <w:pPr>
        <w:numPr>
          <w:ilvl w:val="2"/>
          <w:numId w:val="1017"/>
        </w:numPr>
      </w:pPr>
      <w:r>
        <w:t xml:space="preserve">Peripheral vascular disease</w:t>
      </w:r>
    </w:p>
    <w:p>
      <w:pPr>
        <w:numPr>
          <w:ilvl w:val="2"/>
          <w:numId w:val="1017"/>
        </w:numPr>
      </w:pPr>
      <w:r>
        <w:t xml:space="preserve">Pulmonary Circulation Disorders</w:t>
      </w:r>
    </w:p>
    <w:p>
      <w:pPr>
        <w:numPr>
          <w:ilvl w:val="2"/>
          <w:numId w:val="1017"/>
        </w:numPr>
      </w:pPr>
      <w:r>
        <w:t xml:space="preserve">Valvular disease</w:t>
      </w:r>
    </w:p>
    <w:p>
      <w:pPr>
        <w:numPr>
          <w:ilvl w:val="2"/>
          <w:numId w:val="1017"/>
        </w:numPr>
      </w:pPr>
      <w:r>
        <w:t xml:space="preserve">Hypothyroidism</w:t>
      </w:r>
    </w:p>
    <w:p>
      <w:pPr>
        <w:numPr>
          <w:ilvl w:val="2"/>
          <w:numId w:val="1017"/>
        </w:numPr>
      </w:pPr>
      <w:r>
        <w:t xml:space="preserve">Atrial fibrillation</w:t>
      </w:r>
    </w:p>
    <w:p>
      <w:pPr>
        <w:numPr>
          <w:ilvl w:val="2"/>
          <w:numId w:val="1017"/>
        </w:numPr>
      </w:pPr>
      <w:r>
        <w:t xml:space="preserve">Hyperlipidemia</w:t>
      </w:r>
    </w:p>
    <w:p>
      <w:pPr>
        <w:numPr>
          <w:ilvl w:val="2"/>
          <w:numId w:val="1017"/>
        </w:numPr>
      </w:pPr>
      <w:r>
        <w:t xml:space="preserve">Depression</w:t>
      </w:r>
    </w:p>
    <w:p>
      <w:pPr>
        <w:numPr>
          <w:ilvl w:val="2"/>
          <w:numId w:val="1017"/>
        </w:numPr>
      </w:pPr>
      <w:r>
        <w:t xml:space="preserve">Fluid and electrolyte imbalance</w:t>
      </w:r>
    </w:p>
    <w:p>
      <w:pPr>
        <w:numPr>
          <w:ilvl w:val="2"/>
          <w:numId w:val="1017"/>
        </w:numPr>
      </w:pPr>
      <w:r>
        <w:t xml:space="preserve">Cerebrovascular disease</w:t>
      </w:r>
    </w:p>
    <w:p>
      <w:pPr>
        <w:numPr>
          <w:ilvl w:val="2"/>
          <w:numId w:val="1017"/>
        </w:numPr>
      </w:pPr>
      <w:r>
        <w:t xml:space="preserve">Coagulopathy</w:t>
      </w:r>
    </w:p>
    <w:p>
      <w:pPr>
        <w:numPr>
          <w:ilvl w:val="1"/>
          <w:numId w:val="1015"/>
        </w:numPr>
      </w:pPr>
      <w:r>
        <w:t xml:space="preserve">Hospital Characteristics:</w:t>
      </w:r>
    </w:p>
    <w:p>
      <w:pPr>
        <w:numPr>
          <w:ilvl w:val="2"/>
          <w:numId w:val="1018"/>
        </w:numPr>
      </w:pPr>
      <w:r>
        <w:t xml:space="preserve">Hospital bed size (Small, Medium, Large)</w:t>
      </w:r>
    </w:p>
    <w:p>
      <w:pPr>
        <w:numPr>
          <w:ilvl w:val="2"/>
          <w:numId w:val="1018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5"/>
        </w:numPr>
      </w:pPr>
      <w:r>
        <w:t xml:space="preserve">Disposition and Severity:</w:t>
      </w:r>
    </w:p>
    <w:p>
      <w:pPr>
        <w:numPr>
          <w:ilvl w:val="2"/>
          <w:numId w:val="1019"/>
        </w:numPr>
      </w:pPr>
      <w:r>
        <w:t xml:space="preserve">Discharge disposition</w:t>
      </w:r>
    </w:p>
    <w:p>
      <w:pPr>
        <w:numPr>
          <w:ilvl w:val="2"/>
          <w:numId w:val="1019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0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1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0"/>
        </w:numPr>
      </w:pPr>
      <w:r>
        <w:t xml:space="preserve">Descriptive Analyses:</w:t>
      </w:r>
    </w:p>
    <w:p>
      <w:pPr>
        <w:numPr>
          <w:ilvl w:val="2"/>
          <w:numId w:val="1022"/>
        </w:numPr>
      </w:pPr>
      <w:r>
        <w:t xml:space="preserve">Baseline characteristics were summarized across stage of CKD using survey-weighted means/proportions.</w:t>
      </w:r>
    </w:p>
    <w:p>
      <w:pPr>
        <w:numPr>
          <w:ilvl w:val="2"/>
          <w:numId w:val="1022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0"/>
        </w:numPr>
      </w:pPr>
      <w:r>
        <w:t xml:space="preserve">Multivariable Regression:</w:t>
      </w:r>
    </w:p>
    <w:p>
      <w:pPr>
        <w:numPr>
          <w:ilvl w:val="2"/>
          <w:numId w:val="1023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3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3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20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4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4" w:name="descriptive-analyses"/>
    <w:p>
      <w:pPr>
        <w:pStyle w:val="Heading2"/>
      </w:pPr>
      <w:r>
        <w:t xml:space="preserve">Descriptive Analyses</w:t>
      </w:r>
    </w:p>
    <w:bookmarkStart w:id="22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804,036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682,997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1-3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78,019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4-5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14,723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540,231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463,621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51,198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8,576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16,836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263,805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219,376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11,461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230,007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215,191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73,414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66,260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4,252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434,480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339,835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59,960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11,686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22,998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65,003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60,692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236,911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199,245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10,232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222,803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189,621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21,498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192,904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164,295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139,084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119,180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87,706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75,002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8,841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492,853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418,172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47,211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9,115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18,355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223,478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189,823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201,618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173,771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558,083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470,765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55,708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10,609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21,002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44,335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38,461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1,033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82,002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6,807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37,691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37,691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230,204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230,204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536,141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415,102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78,019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14,723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28,297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284,612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210,196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10,332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19,340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159,926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128,406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25,532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19,980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1,737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163,777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134,748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649,653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534,045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73,936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14,083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27,590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321,166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243,780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46,049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9,959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21,378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130,095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75,960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24,911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8,031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21,193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167,395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136,249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20,396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80,421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60,780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13,011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144,603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116,840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17,876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6,449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102,449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74,228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17,781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 circulation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25,735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8,090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99,613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73,980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16,293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6,089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88,348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68,581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12,977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127,506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95,637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20,701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7,132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579,131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489,433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60,364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10,720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18,614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73,045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59,199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9,103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157,087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113,045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23,672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13,738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41,356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30,635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6,952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1,318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36,344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25,791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adjustment; NA</w:t>
            </w:r>
          </w:p>
        </w:tc>
      </w:tr>
    </w:tbl>
    <w:bookmarkEnd w:id="22"/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804,036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682,997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1-3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78,019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4-5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14,723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731,409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629,737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67,236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12,049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22,386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72,628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53,261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10,783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24,239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18,149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3,044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83,436 (57,922, 128,109)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80,842 (56,621, 122,424)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95,374 (64,059, 151,818)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110,485 (71,785, 182,095)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122,740 (78,908, 202,320)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82,002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6,807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9" w:name="X7d0a1c2a05e84965e19936ca624ae03f9f9afcd"/>
    <w:p>
      <w:pPr>
        <w:pStyle w:val="Heading2"/>
      </w:pPr>
      <w:r>
        <w:t xml:space="preserve">Readmission Hospitalization Characteristics</w:t>
      </w:r>
    </w:p>
    <w:bookmarkStart w:id="25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Readmission (n): 72627</w:t>
      </w:r>
    </w:p>
    <w:p>
      <w:pPr>
        <w:numPr>
          <w:ilvl w:val="0"/>
          <w:numId w:val="1025"/>
        </w:numPr>
      </w:pPr>
      <w:r>
        <w:t xml:space="preserve">Readmission Rate (%): 9.03%</w:t>
      </w:r>
    </w:p>
    <w:p>
      <w:pPr>
        <w:numPr>
          <w:ilvl w:val="0"/>
          <w:numId w:val="1025"/>
        </w:numPr>
      </w:pPr>
      <w:r>
        <w:t xml:space="preserve">Readmission Rate (95% CI): 8.89% to 9.18%</w:t>
      </w:r>
    </w:p>
    <w:bookmarkEnd w:id="25"/>
    <w:bookmarkStart w:id="26" w:name="X677dc32b6de9dd909683c7bdcdc4397294ecb94"/>
    <w:p>
      <w:pPr>
        <w:pStyle w:val="Heading3"/>
      </w:pPr>
      <w:r>
        <w:t xml:space="preserve">In-Hospital Mortality by Readmission Status:</w:t>
      </w:r>
    </w:p>
    <w:bookmarkEnd w:id="26"/>
    <w:bookmarkStart w:id="27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Deaths (n): 2393</w:t>
      </w:r>
    </w:p>
    <w:p>
      <w:pPr>
        <w:numPr>
          <w:ilvl w:val="0"/>
          <w:numId w:val="1026"/>
        </w:numPr>
      </w:pPr>
      <w:r>
        <w:t xml:space="preserve">Death Rate (%): 3.28%</w:t>
      </w:r>
    </w:p>
    <w:p>
      <w:pPr>
        <w:numPr>
          <w:ilvl w:val="0"/>
          <w:numId w:val="1026"/>
        </w:numPr>
      </w:pPr>
      <w:r>
        <w:t xml:space="preserve">Death Rate (95% CI): 3.08% to 3.48%</w:t>
      </w:r>
    </w:p>
    <w:bookmarkEnd w:id="27"/>
    <w:bookmarkStart w:id="28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7"/>
        </w:numPr>
      </w:pPr>
      <w:r>
        <w:t xml:space="preserve">Median Length of Stay (IQR), days: 3 (IQR: 2–5)</w:t>
      </w:r>
    </w:p>
    <w:p>
      <w:pPr>
        <w:numPr>
          <w:ilvl w:val="0"/>
          <w:numId w:val="1027"/>
        </w:numPr>
      </w:pPr>
      <w:r>
        <w:t xml:space="preserve">Median Total Charges (IQR): $33,446 (IQR: $17,758–$65,489)</w:t>
      </w:r>
    </w:p>
    <w:bookmarkEnd w:id="28"/>
    <w:bookmarkEnd w:id="29"/>
    <w:bookmarkStart w:id="31" w:name="multivariable-analyses"/>
    <w:p>
      <w:pPr>
        <w:pStyle w:val="Heading2"/>
      </w:pPr>
      <w:r>
        <w:t xml:space="preserve">Multivariable Analyses</w:t>
      </w:r>
    </w:p>
    <w:bookmarkStart w:id="30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 Circulation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sciencedirect.com/science/article/pii/S2666273622003503#:~:text=By%20Kaplan%E2%80%93Meier%20analysis%2C%20freedom,18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sciencedirect.com/science/article/pii/S2666273622003503#:~:text=By%20Kaplan%E2%80%93Meier%20analysis%2C%20freedom,18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Readmission in Patients with Chronic Kidney Disease undergoing PCI</dc:title>
  <dc:creator>Eliza Aisha</dc:creator>
  <cp:keywords/>
  <dcterms:created xsi:type="dcterms:W3CDTF">2025-07-27T21:26:41Z</dcterms:created>
  <dcterms:modified xsi:type="dcterms:W3CDTF">2025-07-27T21:26:41Z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2025_June_NRD_A5</vt:lpwstr>
  </property>
  <property fmtid="{D5CDD505-2E9C-101B-9397-08002B2CF9AE}" pid="12" name="toc-title">
    <vt:lpwstr>Table of contents</vt:lpwstr>
  </property>
</Properties>
</file>