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Predictors and Outcomes of 30-Day Readmission in Patients Hospitalized for Acute Ischemic Stroke Undergoing Mechanical Thrombectomy</w:t>
      </w:r>
    </w:p>
    <w:p>
      <w:pPr>
        <w:pStyle w:val="Subtitle"/>
      </w:pPr>
      <w:r>
        <w:t xml:space="preserve">2025_June_NRD_Neuro/Psych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Adeena Jamil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Ramchand et al., 2018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acute ischemic stroke undergoing mechanical thrombectomy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acute ischemic stroke, identified using ICD-10-CM code: I63</w:t>
      </w:r>
    </w:p>
    <w:p>
      <w:pPr>
        <w:numPr>
          <w:ilvl w:val="1"/>
          <w:numId w:val="1003"/>
        </w:numPr>
      </w:pPr>
      <w:r>
        <w:t xml:space="preserve">Undergoing mechanical thrombectomy, using ICD-10-PCS code: 03C[A-Z]3ZZ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 unrelated to sepsis care.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Age (categorized: 18–49, 50–64, 65–79, 80+)</w:t>
      </w:r>
    </w:p>
    <w:p>
      <w:pPr>
        <w:numPr>
          <w:ilvl w:val="2"/>
          <w:numId w:val="1013"/>
        </w:numPr>
      </w:pPr>
      <w:r>
        <w:t xml:space="preserve">Sex (FEMALE; ref = Male)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numPr>
          <w:ilvl w:val="2"/>
          <w:numId w:val="1014"/>
        </w:numPr>
      </w:pPr>
      <w:r>
        <w:t xml:space="preserve">Deficiency_anemia</w:t>
      </w:r>
    </w:p>
    <w:p>
      <w:pPr>
        <w:numPr>
          <w:ilvl w:val="2"/>
          <w:numId w:val="1014"/>
        </w:numPr>
      </w:pPr>
      <w:r>
        <w:t xml:space="preserve">Congestive_HF</w:t>
      </w:r>
    </w:p>
    <w:p>
      <w:pPr>
        <w:numPr>
          <w:ilvl w:val="2"/>
          <w:numId w:val="1014"/>
        </w:numPr>
      </w:pPr>
      <w:r>
        <w:t xml:space="preserve">Chronic_pulmonary_disease</w:t>
      </w:r>
    </w:p>
    <w:p>
      <w:pPr>
        <w:numPr>
          <w:ilvl w:val="2"/>
          <w:numId w:val="1014"/>
        </w:numPr>
      </w:pPr>
      <w:r>
        <w:t xml:space="preserve">PVD</w:t>
      </w:r>
    </w:p>
    <w:p>
      <w:pPr>
        <w:numPr>
          <w:ilvl w:val="2"/>
          <w:numId w:val="1014"/>
        </w:numPr>
      </w:pPr>
      <w:r>
        <w:t xml:space="preserve">Diabetes</w:t>
      </w:r>
    </w:p>
    <w:p>
      <w:pPr>
        <w:numPr>
          <w:ilvl w:val="2"/>
          <w:numId w:val="1014"/>
        </w:numPr>
      </w:pPr>
      <w:r>
        <w:t xml:space="preserve">Obesity</w:t>
      </w:r>
    </w:p>
    <w:p>
      <w:pPr>
        <w:numPr>
          <w:ilvl w:val="2"/>
          <w:numId w:val="1014"/>
        </w:numPr>
      </w:pPr>
      <w:r>
        <w:t xml:space="preserve">Depression</w:t>
      </w:r>
    </w:p>
    <w:p>
      <w:pPr>
        <w:numPr>
          <w:ilvl w:val="2"/>
          <w:numId w:val="1014"/>
        </w:numPr>
      </w:pPr>
      <w:r>
        <w:t xml:space="preserve">Valvular disease</w:t>
      </w:r>
    </w:p>
    <w:p>
      <w:pPr>
        <w:numPr>
          <w:ilvl w:val="2"/>
          <w:numId w:val="1014"/>
        </w:numPr>
      </w:pPr>
      <w:r>
        <w:t xml:space="preserve">Hypothyroidism</w:t>
      </w:r>
    </w:p>
    <w:p>
      <w:pPr>
        <w:numPr>
          <w:ilvl w:val="2"/>
          <w:numId w:val="1014"/>
        </w:numPr>
      </w:pPr>
      <w:r>
        <w:t xml:space="preserve">Cardiac arrhythmia</w:t>
      </w:r>
    </w:p>
    <w:p>
      <w:pPr>
        <w:numPr>
          <w:ilvl w:val="2"/>
          <w:numId w:val="1014"/>
        </w:numPr>
      </w:pPr>
      <w:r>
        <w:t xml:space="preserve">Renal disease</w:t>
      </w:r>
    </w:p>
    <w:p>
      <w:pPr>
        <w:numPr>
          <w:ilvl w:val="2"/>
          <w:numId w:val="1014"/>
        </w:numPr>
      </w:pPr>
      <w:r>
        <w:t xml:space="preserve">Cancer</w:t>
      </w:r>
    </w:p>
    <w:p>
      <w:pPr>
        <w:numPr>
          <w:ilvl w:val="2"/>
          <w:numId w:val="1014"/>
        </w:numPr>
      </w:pPr>
      <w:r>
        <w:t xml:space="preserve">Liver disease</w:t>
      </w:r>
    </w:p>
    <w:p>
      <w:pPr>
        <w:numPr>
          <w:ilvl w:val="2"/>
          <w:numId w:val="1014"/>
        </w:numPr>
      </w:pPr>
      <w:r>
        <w:t xml:space="preserve">Fluid and electrolyte imbalance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5"/>
        </w:numPr>
      </w:pPr>
      <w:r>
        <w:t xml:space="preserve">Hospital bed size (Small, Medium, Large)</w:t>
      </w:r>
    </w:p>
    <w:p>
      <w:pPr>
        <w:numPr>
          <w:ilvl w:val="2"/>
          <w:numId w:val="1015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2"/>
        </w:numPr>
      </w:pPr>
      <w:r>
        <w:t xml:space="preserve">Disposition and Severity:</w:t>
      </w:r>
    </w:p>
    <w:p>
      <w:pPr>
        <w:numPr>
          <w:ilvl w:val="2"/>
          <w:numId w:val="1016"/>
        </w:numPr>
      </w:pPr>
      <w:r>
        <w:t xml:space="preserve">Discharge disposition</w:t>
      </w:r>
    </w:p>
    <w:p>
      <w:pPr>
        <w:numPr>
          <w:ilvl w:val="2"/>
          <w:numId w:val="1016"/>
        </w:numPr>
      </w:pPr>
      <w:r>
        <w:t xml:space="preserve">Number of comorbidities</w:t>
      </w:r>
    </w:p>
    <w:p>
      <w:pPr>
        <w:numPr>
          <w:ilvl w:val="2"/>
          <w:numId w:val="1016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7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8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7"/>
        </w:numPr>
      </w:pPr>
      <w:r>
        <w:t xml:space="preserve">Descriptive Statistics:</w:t>
      </w:r>
    </w:p>
    <w:p>
      <w:pPr>
        <w:numPr>
          <w:ilvl w:val="2"/>
          <w:numId w:val="1019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9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20"/>
        </w:numPr>
      </w:pPr>
      <w:r>
        <w:t xml:space="preserve">With 30-day readmission</w:t>
      </w:r>
    </w:p>
    <w:p>
      <w:pPr>
        <w:numPr>
          <w:ilvl w:val="3"/>
          <w:numId w:val="1020"/>
        </w:numPr>
      </w:pPr>
      <w:r>
        <w:t xml:space="preserve">Without readmission</w:t>
      </w:r>
    </w:p>
    <w:p>
      <w:pPr>
        <w:numPr>
          <w:ilvl w:val="2"/>
          <w:numId w:val="1019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1"/>
          <w:numId w:val="1017"/>
        </w:numPr>
      </w:pPr>
      <w:r>
        <w:t xml:space="preserve">Multivariable Regression:</w:t>
      </w:r>
    </w:p>
    <w:p>
      <w:pPr>
        <w:numPr>
          <w:ilvl w:val="2"/>
          <w:numId w:val="1021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1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1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br/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2"/>
        </w:numPr>
      </w:pPr>
      <w:r>
        <w:t xml:space="preserve">Readmission (n): 2511</w:t>
      </w:r>
    </w:p>
    <w:p>
      <w:pPr>
        <w:numPr>
          <w:ilvl w:val="0"/>
          <w:numId w:val="1022"/>
        </w:numPr>
      </w:pPr>
      <w:r>
        <w:t xml:space="preserve">Readmission Rate (%): 2.29%</w:t>
      </w:r>
    </w:p>
    <w:p>
      <w:pPr>
        <w:numPr>
          <w:ilvl w:val="0"/>
          <w:numId w:val="1022"/>
        </w:numPr>
      </w:pPr>
      <w:r>
        <w:t xml:space="preserve">Readmission Rate (95% CI): 1.39% to 3.18%</w:t>
      </w:r>
    </w:p>
    <w:bookmarkEnd w:id="22"/>
    <w:bookmarkStart w:id="23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3"/>
        </w:numPr>
      </w:pPr>
      <w:r>
        <w:t xml:space="preserve">Deaths (n): 405</w:t>
      </w:r>
    </w:p>
    <w:p>
      <w:pPr>
        <w:numPr>
          <w:ilvl w:val="0"/>
          <w:numId w:val="1023"/>
        </w:numPr>
      </w:pPr>
      <w:r>
        <w:t xml:space="preserve">Death Rate (%): 16.24%</w:t>
      </w:r>
    </w:p>
    <w:p>
      <w:pPr>
        <w:numPr>
          <w:ilvl w:val="0"/>
          <w:numId w:val="1023"/>
        </w:numPr>
      </w:pPr>
      <w:r>
        <w:t xml:space="preserve">Death Rate (95% CI): 13.43% to 19.05%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4"/>
        </w:numPr>
      </w:pPr>
      <w:r>
        <w:t xml:space="preserve">Deaths (n): 0</w:t>
      </w:r>
    </w:p>
    <w:p>
      <w:pPr>
        <w:numPr>
          <w:ilvl w:val="0"/>
          <w:numId w:val="1024"/>
        </w:numPr>
      </w:pPr>
      <w:r>
        <w:t xml:space="preserve">Death Rate (%): 0%</w:t>
      </w:r>
    </w:p>
    <w:p>
      <w:pPr>
        <w:numPr>
          <w:ilvl w:val="0"/>
          <w:numId w:val="1024"/>
        </w:numPr>
      </w:pPr>
      <w:r>
        <w:t xml:space="preserve">Death Rate (95% CI): NaN% to NaN%</w:t>
      </w:r>
    </w:p>
    <w:bookmarkEnd w:id="23"/>
    <w:bookmarkStart w:id="24" w:name="los-and-cost-by-readmission-status"/>
    <w:p>
      <w:pPr>
        <w:pStyle w:val="Heading3"/>
      </w:pPr>
      <w:r>
        <w:t xml:space="preserve">LOS and Cost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5"/>
        </w:numPr>
      </w:pPr>
      <w:r>
        <w:t xml:space="preserve">Mean Length of Stay (days): 8.97</w:t>
      </w:r>
    </w:p>
    <w:p>
      <w:pPr>
        <w:numPr>
          <w:ilvl w:val="0"/>
          <w:numId w:val="1025"/>
        </w:numPr>
      </w:pPr>
      <w:r>
        <w:t xml:space="preserve">Mean Length of Stay (95% CI): 8.22 to 9.72</w:t>
      </w:r>
    </w:p>
    <w:p>
      <w:pPr>
        <w:numPr>
          <w:ilvl w:val="0"/>
          <w:numId w:val="1025"/>
        </w:numPr>
      </w:pPr>
      <w:r>
        <w:t xml:space="preserve">Mean Charge ($): 190863</w:t>
      </w:r>
    </w:p>
    <w:p>
      <w:pPr>
        <w:numPr>
          <w:ilvl w:val="0"/>
          <w:numId w:val="1025"/>
        </w:numPr>
      </w:pPr>
      <w:r>
        <w:t xml:space="preserve">Mean Charge (95% CI): 178351 to 203374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6"/>
        </w:numPr>
      </w:pPr>
      <w:r>
        <w:t xml:space="preserve">Mean Length of Stay (days): 0</w:t>
      </w:r>
    </w:p>
    <w:p>
      <w:pPr>
        <w:numPr>
          <w:ilvl w:val="0"/>
          <w:numId w:val="1026"/>
        </w:numPr>
      </w:pPr>
      <w:r>
        <w:t xml:space="preserve">Mean Length of Stay (95% CI): NaN to NaN</w:t>
      </w:r>
    </w:p>
    <w:p>
      <w:pPr>
        <w:numPr>
          <w:ilvl w:val="0"/>
          <w:numId w:val="1026"/>
        </w:numPr>
      </w:pPr>
      <w:r>
        <w:t xml:space="preserve">Mean Charge ($): 0</w:t>
      </w:r>
    </w:p>
    <w:p>
      <w:pPr>
        <w:numPr>
          <w:ilvl w:val="0"/>
          <w:numId w:val="1026"/>
        </w:numPr>
      </w:pPr>
      <w:r>
        <w:t xml:space="preserve">Mean Charge (95% CI): NA to NA</w:t>
      </w:r>
    </w:p>
    <w:bookmarkEnd w:id="24"/>
    <w:bookmarkEnd w:id="25"/>
    <w:bookmarkStart w:id="26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2,454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2,512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675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847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863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1,276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1,213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1,235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654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689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638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Urban-Rural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727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 (9.8%)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 metropolitan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1,627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1,666 (66%)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 metropolitan &lt;1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831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1,973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2,022 (81%)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2,139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2,192 (87%)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1,564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1,601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 Disposition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Left against medical advice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1,301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1,317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skilled nursing facility, intermediate care, and another type of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another short-term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2,314 (92%)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6"/>
    <w:bookmarkStart w:id="28" w:name="multivariable-regression"/>
    <w:p>
      <w:pPr>
        <w:pStyle w:val="Heading2"/>
      </w:pPr>
      <w:r>
        <w:t xml:space="preserve">Multivariable Regression</w:t>
      </w:r>
    </w:p>
    <w:bookmarkStart w:id="27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30-Day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30-day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120,377,839,810,460,264,796,260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72,565,938,439,213,983,738,846, 199,691,820,006,865,922,688,086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Deficiency 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ubmed.ncbi.nlm.nih.gov/3004203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ubmed.ncbi.nlm.nih.gov/3004203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Predictors and Outcomes of 30-Day Readmission in Patients Hospitalized for Acute Ischemic Stroke Undergoing Mechanical Thrombectomy</dc:title>
  <dc:creator>Eliza Aisha; Adeena Jamil</dc:creator>
  <cp:keywords/>
  <dcterms:created xsi:type="dcterms:W3CDTF">2025-07-10T20:28:27Z</dcterms:created>
  <dcterms:modified xsi:type="dcterms:W3CDTF">2025-07-10T20:28:27Z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2025_June_NRD_Neuro/Psych</vt:lpwstr>
  </property>
  <property fmtid="{D5CDD505-2E9C-101B-9397-08002B2CF9AE}" pid="12" name="toc-title">
    <vt:lpwstr>Table of contents</vt:lpwstr>
  </property>
</Properties>
</file>