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Predictors and Outcomes of 30-Day Readmission in Patients Hospitalized for Acute Ischemic Stroke Undergoing Mechanical Thrombectomy</w:t>
      </w:r>
    </w:p>
    <w:p>
      <w:pPr>
        <w:pStyle w:val="Subtitle"/>
      </w:pPr>
      <w:r>
        <w:t xml:space="preserve">2025_June_NRD_Neuro/Psych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Adeena Jamil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Ramchand et al., 2018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hospitalized with acute ischemic stroke undergoing mechanical thrombectomy using a nationally representative dataset. This study also evaluates the clinical and economic burden of readmission in this high-risk population, including its associations with in-hospital mortality, length of stay (LOS), and hospital charges.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Adults aged ≥18 years</w:t>
      </w:r>
    </w:p>
    <w:p>
      <w:pPr>
        <w:numPr>
          <w:ilvl w:val="1"/>
          <w:numId w:val="1003"/>
        </w:numPr>
      </w:pPr>
      <w:r>
        <w:t xml:space="preserve">Principal diagnosis of acute ischemic stroke, identified using ICD-10-CM code: I63</w:t>
      </w:r>
    </w:p>
    <w:p>
      <w:pPr>
        <w:numPr>
          <w:ilvl w:val="1"/>
          <w:numId w:val="1003"/>
        </w:numPr>
      </w:pPr>
      <w:r>
        <w:t xml:space="preserve">Undergoing mechanical thrombectomy, using ICD-10-PCS code: 03C[A-Z]3ZZ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Primary Outcome:</w:t>
      </w:r>
    </w:p>
    <w:p>
      <w:pPr>
        <w:pStyle w:val="Compact"/>
        <w:numPr>
          <w:ilvl w:val="2"/>
          <w:numId w:val="1005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Secondary Outcomes:</w:t>
      </w:r>
    </w:p>
    <w:p>
      <w:pPr>
        <w:numPr>
          <w:ilvl w:val="2"/>
          <w:numId w:val="1006"/>
        </w:numPr>
      </w:pPr>
      <w:r>
        <w:t xml:space="preserve">In-hospital mortality (binary)</w:t>
      </w:r>
    </w:p>
    <w:p>
      <w:pPr>
        <w:numPr>
          <w:ilvl w:val="2"/>
          <w:numId w:val="1006"/>
        </w:numPr>
      </w:pPr>
      <w:r>
        <w:t xml:space="preserve">Length of stay (LOS, in days)</w:t>
      </w:r>
    </w:p>
    <w:p>
      <w:pPr>
        <w:numPr>
          <w:ilvl w:val="2"/>
          <w:numId w:val="1006"/>
        </w:numPr>
      </w:pPr>
      <w:r>
        <w:t xml:space="preserve">Total hospitalization charges (inflation-adjusted to 2017 USD)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 Definitions:</w:t>
      </w:r>
    </w:p>
    <w:p>
      <w:pPr>
        <w:numPr>
          <w:ilvl w:val="1"/>
          <w:numId w:val="1007"/>
        </w:numPr>
      </w:pPr>
      <w:r>
        <w:t xml:space="preserve">Readmission:</w:t>
      </w:r>
    </w:p>
    <w:p>
      <w:pPr>
        <w:numPr>
          <w:ilvl w:val="2"/>
          <w:numId w:val="1008"/>
        </w:numPr>
      </w:pPr>
      <w:r>
        <w:t xml:space="preserve">Defined using NRD’s linkage variables. Readmissions were identified only among patients with qualifying index events.</w:t>
      </w:r>
    </w:p>
    <w:p>
      <w:pPr>
        <w:numPr>
          <w:ilvl w:val="2"/>
          <w:numId w:val="1008"/>
        </w:numPr>
      </w:pPr>
      <w:r>
        <w:t xml:space="preserve">Trauma-related hospitalizations were excluded only from the readmission pool to avoid injury-related returns unrelated to sepsis care.</w:t>
      </w:r>
    </w:p>
    <w:p>
      <w:pPr>
        <w:numPr>
          <w:ilvl w:val="1"/>
          <w:numId w:val="1007"/>
        </w:numPr>
      </w:pPr>
      <w:r>
        <w:t xml:space="preserve">Mortality:</w:t>
      </w:r>
    </w:p>
    <w:p>
      <w:pPr>
        <w:pStyle w:val="Compact"/>
        <w:numPr>
          <w:ilvl w:val="2"/>
          <w:numId w:val="1009"/>
        </w:numPr>
      </w:pPr>
      <w:r>
        <w:t xml:space="preserve">In-hospital death recorded during index or readmission (DIED = 1)</w:t>
      </w:r>
    </w:p>
    <w:p>
      <w:pPr>
        <w:numPr>
          <w:ilvl w:val="1"/>
          <w:numId w:val="1007"/>
        </w:numPr>
      </w:pPr>
      <w:r>
        <w:t xml:space="preserve">LOS:</w:t>
      </w:r>
    </w:p>
    <w:p>
      <w:pPr>
        <w:pStyle w:val="Compact"/>
        <w:numPr>
          <w:ilvl w:val="2"/>
          <w:numId w:val="1010"/>
        </w:numPr>
      </w:pPr>
      <w:r>
        <w:t xml:space="preserve">Reported in days; modeled as count outcome</w:t>
      </w:r>
    </w:p>
    <w:p>
      <w:pPr>
        <w:numPr>
          <w:ilvl w:val="1"/>
          <w:numId w:val="1007"/>
        </w:numPr>
      </w:pPr>
      <w:r>
        <w:t xml:space="preserve">Charge:</w:t>
      </w:r>
    </w:p>
    <w:p>
      <w:pPr>
        <w:pStyle w:val="Compact"/>
        <w:numPr>
          <w:ilvl w:val="2"/>
          <w:numId w:val="1011"/>
        </w:numPr>
      </w:pPr>
      <w:r>
        <w:t xml:space="preserve">Derived from HCUP’s TOTCHG variable and adjusted to 2017 dollars using Consumer Price Index (CPI) data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12"/>
        </w:numPr>
      </w:pPr>
      <w:r>
        <w:t xml:space="preserve">Demographic &amp; Socioeconomic Factors:</w:t>
      </w:r>
    </w:p>
    <w:p>
      <w:pPr>
        <w:numPr>
          <w:ilvl w:val="2"/>
          <w:numId w:val="1013"/>
        </w:numPr>
      </w:pPr>
      <w:r>
        <w:t xml:space="preserve">Age (categorized: 18–49, 50–64, 65–79, 80+)</w:t>
      </w:r>
    </w:p>
    <w:p>
      <w:pPr>
        <w:numPr>
          <w:ilvl w:val="2"/>
          <w:numId w:val="1013"/>
        </w:numPr>
      </w:pPr>
      <w:r>
        <w:t xml:space="preserve">Sex (FEMALE; ref = Male)</w:t>
      </w:r>
    </w:p>
    <w:p>
      <w:pPr>
        <w:numPr>
          <w:ilvl w:val="2"/>
          <w:numId w:val="1013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13"/>
        </w:numPr>
      </w:pPr>
      <w:r>
        <w:t xml:space="preserve">ZIP-based median income quartile</w:t>
      </w:r>
    </w:p>
    <w:p>
      <w:pPr>
        <w:numPr>
          <w:ilvl w:val="1"/>
          <w:numId w:val="1012"/>
        </w:numPr>
      </w:pPr>
      <w:r>
        <w:t xml:space="preserve">Clinical Characteristics:</w:t>
      </w:r>
    </w:p>
    <w:p>
      <w:pPr>
        <w:numPr>
          <w:ilvl w:val="2"/>
          <w:numId w:val="1014"/>
        </w:numPr>
      </w:pPr>
      <w:r>
        <w:t xml:space="preserve">Deficiency_anemia</w:t>
      </w:r>
    </w:p>
    <w:p>
      <w:pPr>
        <w:numPr>
          <w:ilvl w:val="2"/>
          <w:numId w:val="1014"/>
        </w:numPr>
      </w:pPr>
      <w:r>
        <w:t xml:space="preserve">Congestive_HF</w:t>
      </w:r>
    </w:p>
    <w:p>
      <w:pPr>
        <w:numPr>
          <w:ilvl w:val="2"/>
          <w:numId w:val="1014"/>
        </w:numPr>
      </w:pPr>
      <w:r>
        <w:t xml:space="preserve">Chronic_pulmonary_disease</w:t>
      </w:r>
    </w:p>
    <w:p>
      <w:pPr>
        <w:numPr>
          <w:ilvl w:val="2"/>
          <w:numId w:val="1014"/>
        </w:numPr>
      </w:pPr>
      <w:r>
        <w:t xml:space="preserve">PVD</w:t>
      </w:r>
    </w:p>
    <w:p>
      <w:pPr>
        <w:numPr>
          <w:ilvl w:val="2"/>
          <w:numId w:val="1014"/>
        </w:numPr>
      </w:pPr>
      <w:r>
        <w:t xml:space="preserve">Diabetes</w:t>
      </w:r>
    </w:p>
    <w:p>
      <w:pPr>
        <w:numPr>
          <w:ilvl w:val="2"/>
          <w:numId w:val="1014"/>
        </w:numPr>
      </w:pPr>
      <w:r>
        <w:t xml:space="preserve">Obesity</w:t>
      </w:r>
    </w:p>
    <w:p>
      <w:pPr>
        <w:numPr>
          <w:ilvl w:val="2"/>
          <w:numId w:val="1014"/>
        </w:numPr>
      </w:pPr>
      <w:r>
        <w:t xml:space="preserve">Depression</w:t>
      </w:r>
    </w:p>
    <w:p>
      <w:pPr>
        <w:numPr>
          <w:ilvl w:val="2"/>
          <w:numId w:val="1014"/>
        </w:numPr>
      </w:pPr>
      <w:r>
        <w:t xml:space="preserve">Valvular disease</w:t>
      </w:r>
    </w:p>
    <w:p>
      <w:pPr>
        <w:numPr>
          <w:ilvl w:val="2"/>
          <w:numId w:val="1014"/>
        </w:numPr>
      </w:pPr>
      <w:r>
        <w:t xml:space="preserve">Hypothyroidism</w:t>
      </w:r>
    </w:p>
    <w:p>
      <w:pPr>
        <w:numPr>
          <w:ilvl w:val="2"/>
          <w:numId w:val="1014"/>
        </w:numPr>
      </w:pPr>
      <w:r>
        <w:t xml:space="preserve">Cardiac arrhythmia</w:t>
      </w:r>
    </w:p>
    <w:p>
      <w:pPr>
        <w:numPr>
          <w:ilvl w:val="2"/>
          <w:numId w:val="1014"/>
        </w:numPr>
      </w:pPr>
      <w:r>
        <w:t xml:space="preserve">Renal disease</w:t>
      </w:r>
    </w:p>
    <w:p>
      <w:pPr>
        <w:numPr>
          <w:ilvl w:val="2"/>
          <w:numId w:val="1014"/>
        </w:numPr>
      </w:pPr>
      <w:r>
        <w:t xml:space="preserve">Cancer</w:t>
      </w:r>
    </w:p>
    <w:p>
      <w:pPr>
        <w:numPr>
          <w:ilvl w:val="2"/>
          <w:numId w:val="1014"/>
        </w:numPr>
      </w:pPr>
      <w:r>
        <w:t xml:space="preserve">Liver disease</w:t>
      </w:r>
    </w:p>
    <w:p>
      <w:pPr>
        <w:numPr>
          <w:ilvl w:val="2"/>
          <w:numId w:val="1014"/>
        </w:numPr>
      </w:pPr>
      <w:r>
        <w:t xml:space="preserve">Fluid and electrolyte imbalance</w:t>
      </w:r>
    </w:p>
    <w:p>
      <w:pPr>
        <w:numPr>
          <w:ilvl w:val="1"/>
          <w:numId w:val="1012"/>
        </w:numPr>
      </w:pPr>
      <w:r>
        <w:t xml:space="preserve">Hospital Characteristics:</w:t>
      </w:r>
    </w:p>
    <w:p>
      <w:pPr>
        <w:numPr>
          <w:ilvl w:val="2"/>
          <w:numId w:val="1015"/>
        </w:numPr>
      </w:pPr>
      <w:r>
        <w:t xml:space="preserve">Hospital bed size (Small, Medium, Large)</w:t>
      </w:r>
    </w:p>
    <w:p>
      <w:pPr>
        <w:numPr>
          <w:ilvl w:val="2"/>
          <w:numId w:val="1015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12"/>
        </w:numPr>
      </w:pPr>
      <w:r>
        <w:t xml:space="preserve">Disposition and Severity:</w:t>
      </w:r>
    </w:p>
    <w:p>
      <w:pPr>
        <w:numPr>
          <w:ilvl w:val="2"/>
          <w:numId w:val="1016"/>
        </w:numPr>
      </w:pPr>
      <w:r>
        <w:t xml:space="preserve">Discharge disposition</w:t>
      </w:r>
    </w:p>
    <w:p>
      <w:pPr>
        <w:numPr>
          <w:ilvl w:val="2"/>
          <w:numId w:val="1016"/>
        </w:numPr>
      </w:pPr>
      <w:r>
        <w:t xml:space="preserve">Number of comorbidities</w:t>
      </w:r>
    </w:p>
    <w:p>
      <w:pPr>
        <w:numPr>
          <w:ilvl w:val="2"/>
          <w:numId w:val="1016"/>
        </w:numPr>
      </w:pPr>
      <w:r>
        <w:t xml:space="preserve">Length of stay (categorized as above)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7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8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7"/>
        </w:numPr>
      </w:pPr>
      <w:r>
        <w:t xml:space="preserve">Descriptive Statistics:</w:t>
      </w:r>
    </w:p>
    <w:p>
      <w:pPr>
        <w:numPr>
          <w:ilvl w:val="2"/>
          <w:numId w:val="1019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9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20"/>
        </w:numPr>
      </w:pPr>
      <w:r>
        <w:t xml:space="preserve">With 30-day readmission</w:t>
      </w:r>
    </w:p>
    <w:p>
      <w:pPr>
        <w:numPr>
          <w:ilvl w:val="3"/>
          <w:numId w:val="1020"/>
        </w:numPr>
      </w:pPr>
      <w:r>
        <w:t xml:space="preserve">Without readmission</w:t>
      </w:r>
    </w:p>
    <w:p>
      <w:pPr>
        <w:numPr>
          <w:ilvl w:val="2"/>
          <w:numId w:val="1019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1"/>
          <w:numId w:val="1017"/>
        </w:numPr>
      </w:pPr>
      <w:r>
        <w:t xml:space="preserve">Multivariable Regression:</w:t>
      </w:r>
    </w:p>
    <w:p>
      <w:pPr>
        <w:numPr>
          <w:ilvl w:val="2"/>
          <w:numId w:val="1021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21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21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br/>
      </w:r>
      <w:r>
        <w:t xml:space="preserve">All analyses were conducted in R Statistical Language (Version 4.5.0; R Foundation for Statistical Computing, Vienna, Austria).</w:t>
      </w:r>
    </w:p>
    <w:bookmarkEnd w:id="21"/>
    <w:bookmarkStart w:id="25" w:name="descriptive-statistics"/>
    <w:p>
      <w:pPr>
        <w:pStyle w:val="Heading2"/>
      </w:pPr>
      <w:r>
        <w:t xml:space="preserve">Descriptive Statistics:</w:t>
      </w:r>
    </w:p>
    <w:bookmarkStart w:id="22" w:name="readmission-rate"/>
    <w:p>
      <w:pPr>
        <w:pStyle w:val="Heading3"/>
      </w:pPr>
      <w:r>
        <w:t xml:space="preserve">Readmission Rate: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2"/>
        </w:numPr>
      </w:pPr>
      <w:r>
        <w:t xml:space="preserve">Readmission (n): 57</w:t>
      </w:r>
    </w:p>
    <w:p>
      <w:pPr>
        <w:numPr>
          <w:ilvl w:val="0"/>
          <w:numId w:val="1022"/>
        </w:numPr>
      </w:pPr>
      <w:r>
        <w:t xml:space="preserve">Readmission Rate (%): 2.29%</w:t>
      </w:r>
    </w:p>
    <w:p>
      <w:pPr>
        <w:numPr>
          <w:ilvl w:val="0"/>
          <w:numId w:val="1022"/>
        </w:numPr>
      </w:pPr>
      <w:r>
        <w:t xml:space="preserve">Readmission Rate (95% CI): 1.39% to 3.18%</w:t>
      </w:r>
    </w:p>
    <w:bookmarkEnd w:id="22"/>
    <w:bookmarkStart w:id="23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3"/>
        </w:numPr>
      </w:pPr>
      <w:r>
        <w:t xml:space="preserve">Deaths (n): 405</w:t>
      </w:r>
    </w:p>
    <w:p>
      <w:pPr>
        <w:numPr>
          <w:ilvl w:val="0"/>
          <w:numId w:val="1023"/>
        </w:numPr>
      </w:pPr>
      <w:r>
        <w:t xml:space="preserve">Death Rate (%): 16.24%</w:t>
      </w:r>
    </w:p>
    <w:p>
      <w:pPr>
        <w:numPr>
          <w:ilvl w:val="0"/>
          <w:numId w:val="1023"/>
        </w:numPr>
      </w:pPr>
      <w:r>
        <w:t xml:space="preserve">Death Rate (95% CI): 13.44% to 19.05%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4"/>
        </w:numPr>
      </w:pPr>
      <w:r>
        <w:t xml:space="preserve">Deaths (n): 3</w:t>
      </w:r>
    </w:p>
    <w:p>
      <w:pPr>
        <w:numPr>
          <w:ilvl w:val="0"/>
          <w:numId w:val="1024"/>
        </w:numPr>
      </w:pPr>
      <w:r>
        <w:t xml:space="preserve">Death Rate (%): 5.71%</w:t>
      </w:r>
    </w:p>
    <w:p>
      <w:pPr>
        <w:numPr>
          <w:ilvl w:val="0"/>
          <w:numId w:val="1024"/>
        </w:numPr>
      </w:pPr>
      <w:r>
        <w:t xml:space="preserve">Death Rate (95% CI): -3.11% to 14.53%</w:t>
      </w:r>
    </w:p>
    <w:bookmarkEnd w:id="23"/>
    <w:bookmarkStart w:id="24" w:name="los-and-cost-by-readmission-status"/>
    <w:p>
      <w:pPr>
        <w:pStyle w:val="Heading3"/>
      </w:pPr>
      <w:r>
        <w:t xml:space="preserve">LOS and Cost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25"/>
        </w:numPr>
      </w:pPr>
      <w:r>
        <w:t xml:space="preserve">Mean Length of Stay (days): 8.97</w:t>
      </w:r>
    </w:p>
    <w:p>
      <w:pPr>
        <w:numPr>
          <w:ilvl w:val="0"/>
          <w:numId w:val="1025"/>
        </w:numPr>
      </w:pPr>
      <w:r>
        <w:t xml:space="preserve">Mean Length of Stay (95% CI): 8.21 to 9.73</w:t>
      </w:r>
    </w:p>
    <w:p>
      <w:pPr>
        <w:numPr>
          <w:ilvl w:val="0"/>
          <w:numId w:val="1025"/>
        </w:numPr>
      </w:pPr>
      <w:r>
        <w:t xml:space="preserve">Mean Charge ($): 190863</w:t>
      </w:r>
    </w:p>
    <w:p>
      <w:pPr>
        <w:numPr>
          <w:ilvl w:val="0"/>
          <w:numId w:val="1025"/>
        </w:numPr>
      </w:pPr>
      <w:r>
        <w:t xml:space="preserve">Mean Charge (95% CI): 177801 to 203924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26"/>
        </w:numPr>
      </w:pPr>
      <w:r>
        <w:t xml:space="preserve">Mean Length of Stay (days): 9.1</w:t>
      </w:r>
    </w:p>
    <w:p>
      <w:pPr>
        <w:numPr>
          <w:ilvl w:val="0"/>
          <w:numId w:val="1026"/>
        </w:numPr>
      </w:pPr>
      <w:r>
        <w:t xml:space="preserve">Mean Length of Stay (95% CI): 5.55 to 12.64</w:t>
      </w:r>
    </w:p>
    <w:p>
      <w:pPr>
        <w:numPr>
          <w:ilvl w:val="0"/>
          <w:numId w:val="1026"/>
        </w:numPr>
      </w:pPr>
      <w:r>
        <w:t xml:space="preserve">Mean Charge ($): 0</w:t>
      </w:r>
    </w:p>
    <w:p>
      <w:pPr>
        <w:numPr>
          <w:ilvl w:val="0"/>
          <w:numId w:val="1026"/>
        </w:numPr>
      </w:pPr>
      <w:r>
        <w:t xml:space="preserve">Mean Charge (95% CI): 0 to 0</w:t>
      </w:r>
    </w:p>
    <w:bookmarkEnd w:id="24"/>
    <w:bookmarkEnd w:id="25"/>
    <w:bookmarkStart w:id="26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2,454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2,512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216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675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847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863 (34%)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749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1,241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1,276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1,213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1,235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654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689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638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503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Urban-Rural Location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727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704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477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489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(6.9%)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 (6.9%)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(6.6%)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 (9.8%)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 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 metropolitan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1,627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1,666 (66%)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 metropolitan &lt;1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831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1,973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2,022 (81%)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 (16%)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2,139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2,192 (87%)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 expected payer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1,564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1,601 (64%)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(3.3%)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Self-pay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(2.8%)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 Disposition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Left against medical advice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1,301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1,317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skilled nursing facility, intermediate care, and another type of facility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1,102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Transfer to another short-term 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197 (7.8%)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2,259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2,314 (92%)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</w:t>
            </w:r>
          </w:p>
        </w:tc>
      </w:tr>
    </w:tbl>
    <w:bookmarkEnd w:id="26"/>
    <w:bookmarkStart w:id="28" w:name="multivariable-regression"/>
    <w:p>
      <w:pPr>
        <w:pStyle w:val="Heading2"/>
      </w:pPr>
      <w:r>
        <w:t xml:space="preserve">Multivariable Regression</w:t>
      </w:r>
    </w:p>
    <w:bookmarkStart w:id="27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18–49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50–64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65–79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Urbanicity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Central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Fringe metro ≥1 million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250,000-999,999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 50,000-249,999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Micropolitan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0.52, 1.18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0.60, 1.53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0.49, 1.68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0.64, 1.46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0.19, 3.66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30-Day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Without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With 30-day readmission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120,377,839,810,460,264,796,260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70,188,273,605,068,653,078,848, 206,456,485,864,988,915,802,820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Deficiency anemia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Congestive 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Hypothyroidism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Arrhythmia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0.87, 1.13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0.81, 1.25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Liver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imbalance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ubmed.ncbi.nlm.nih.gov/30042034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ubmed.ncbi.nlm.nih.gov/3004203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Predictors and Outcomes of 30-Day Readmission in Patients Hospitalized for Acute Ischemic Stroke Undergoing Mechanical Thrombectomy</dc:title>
  <dc:creator>Eliza Aisha; Adeena Jamil</dc:creator>
  <cp:keywords/>
  <dcterms:created xsi:type="dcterms:W3CDTF">2025-07-10T20:50:06Z</dcterms:created>
  <dcterms:modified xsi:type="dcterms:W3CDTF">2025-07-10T20:50:06Z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2025_June_NRD_Neuro/Psych</vt:lpwstr>
  </property>
  <property fmtid="{D5CDD505-2E9C-101B-9397-08002B2CF9AE}" pid="12" name="toc-title">
    <vt:lpwstr>Table of contents</vt:lpwstr>
  </property>
</Properties>
</file>